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3B7" w:rsidRPr="00F046A6" w:rsidRDefault="00045976" w:rsidP="00F046A6">
      <w:pPr>
        <w:spacing w:line="240" w:lineRule="auto"/>
        <w:rPr>
          <w:lang w:val="it-IT"/>
        </w:rPr>
      </w:pPr>
      <w:r>
        <w:rPr>
          <w:noProof/>
          <w:lang w:val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15pt;margin-top:-1.65pt;width:171.4pt;height:53.95pt;z-index:251660288;mso-width-relative:margin;mso-height-relative:margin" stroked="f">
            <v:textbox style="mso-next-textbox:#_x0000_s1026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Sapienza Università di Roma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Facoltà di Farmacia e Medicina</w:t>
                  </w:r>
                </w:p>
                <w:p w:rsidR="00F046A6" w:rsidRDefault="00F046A6" w:rsidP="00F046A6">
                  <w:pPr>
                    <w:spacing w:line="240" w:lineRule="auto"/>
                    <w:jc w:val="center"/>
                  </w:pPr>
                  <w:r w:rsidRPr="00F046A6">
                    <w:t xml:space="preserve">Anno </w:t>
                  </w:r>
                  <w:proofErr w:type="spellStart"/>
                  <w:r w:rsidRPr="00F046A6">
                    <w:t>Accademico</w:t>
                  </w:r>
                  <w:proofErr w:type="spellEnd"/>
                  <w:r w:rsidRPr="00F046A6">
                    <w:t xml:space="preserve"> 201</w:t>
                  </w:r>
                  <w:r w:rsidR="00045976">
                    <w:t>8</w:t>
                  </w:r>
                  <w:r w:rsidRPr="00F046A6">
                    <w:t>/201</w:t>
                  </w:r>
                  <w:r w:rsidR="00045976">
                    <w:t>9</w:t>
                  </w:r>
                </w:p>
              </w:txbxContent>
            </v:textbox>
          </v:shape>
        </w:pict>
      </w:r>
    </w:p>
    <w:p w:rsidR="00F046A6" w:rsidRDefault="00F046A6" w:rsidP="00F046A6">
      <w:pPr>
        <w:spacing w:line="240" w:lineRule="auto"/>
        <w:jc w:val="center"/>
      </w:pPr>
    </w:p>
    <w:p w:rsidR="00F046A6" w:rsidRDefault="00F046A6" w:rsidP="00F046A6">
      <w:pPr>
        <w:spacing w:line="240" w:lineRule="auto"/>
        <w:jc w:val="center"/>
        <w:rPr>
          <w:lang w:val="it-IT"/>
        </w:rPr>
      </w:pPr>
    </w:p>
    <w:p w:rsidR="00F046A6" w:rsidRPr="00F046A6" w:rsidRDefault="00045976" w:rsidP="00F046A6">
      <w:pPr>
        <w:rPr>
          <w:lang w:val="it-IT"/>
        </w:rPr>
      </w:pPr>
      <w:r>
        <w:rPr>
          <w:noProof/>
          <w:lang w:eastAsia="fr-FR"/>
        </w:rPr>
        <w:pict>
          <v:shape id="_x0000_s1027" type="#_x0000_t202" style="position:absolute;left:0;text-align:left;margin-left:60.2pt;margin-top:15.6pt;width:339.55pt;height:106.95pt;z-index:251661312;mso-width-relative:margin;mso-height-relative:margin" stroked="f">
            <v:textbox style="mso-next-textbox:#_x0000_s1027">
              <w:txbxContent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 xml:space="preserve">Corso di Laurea in </w:t>
                  </w:r>
                  <w:r w:rsidR="00BF3EF3">
                    <w:rPr>
                      <w:b/>
                      <w:lang w:val="it-IT"/>
                    </w:rPr>
                    <w:t>CTF</w:t>
                  </w:r>
                </w:p>
                <w:p w:rsidR="00F046A6" w:rsidRPr="00F046A6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F046A6">
                    <w:rPr>
                      <w:b/>
                      <w:lang w:val="it-IT"/>
                    </w:rPr>
                    <w:t>Corso di Analisi Chimico-Farmaceutica e Tossicologica</w:t>
                  </w:r>
                  <w:r w:rsidR="00BF3EF3">
                    <w:rPr>
                      <w:b/>
                      <w:lang w:val="it-IT"/>
                    </w:rPr>
                    <w:t xml:space="preserve"> I</w:t>
                  </w:r>
                  <w:r w:rsidRPr="00F046A6">
                    <w:rPr>
                      <w:b/>
                      <w:lang w:val="it-IT"/>
                    </w:rPr>
                    <w:t xml:space="preserve"> (A-L)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b/>
                      <w:lang w:val="it-IT"/>
                    </w:rPr>
                  </w:pPr>
                  <w:r w:rsidRPr="0044104D">
                    <w:rPr>
                      <w:b/>
                      <w:lang w:val="it-IT"/>
                    </w:rPr>
                    <w:t>Dott. Sergio Valente</w:t>
                  </w:r>
                </w:p>
                <w:p w:rsidR="00F046A6" w:rsidRPr="0044104D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  <w:r w:rsidRPr="00F046A6">
                    <w:rPr>
                      <w:lang w:val="it-IT"/>
                    </w:rPr>
                    <w:t>Ese</w:t>
                  </w:r>
                  <w:r>
                    <w:rPr>
                      <w:lang w:val="it-IT"/>
                    </w:rPr>
                    <w:t>rcitazione di Laboratorio n.</w:t>
                  </w:r>
                  <w:r w:rsidR="00B061DB">
                    <w:rPr>
                      <w:lang w:val="it-IT"/>
                    </w:rPr>
                    <w:t>3</w:t>
                  </w:r>
                  <w:r>
                    <w:rPr>
                      <w:lang w:val="it-IT"/>
                    </w:rPr>
                    <w:t xml:space="preserve"> </w:t>
                  </w:r>
                  <w:r w:rsidR="00E510C5">
                    <w:rPr>
                      <w:lang w:val="it-IT"/>
                    </w:rPr>
                    <w:t>–</w:t>
                  </w:r>
                  <w:r>
                    <w:rPr>
                      <w:lang w:val="it-IT"/>
                    </w:rPr>
                    <w:t xml:space="preserve"> </w:t>
                  </w:r>
                  <w:r w:rsidR="00C47717">
                    <w:rPr>
                      <w:lang w:val="it-IT"/>
                    </w:rPr>
                    <w:t>1</w:t>
                  </w:r>
                  <w:r w:rsidR="00045976">
                    <w:rPr>
                      <w:lang w:val="it-IT"/>
                    </w:rPr>
                    <w:t>9</w:t>
                  </w:r>
                  <w:r w:rsidR="00E510C5">
                    <w:rPr>
                      <w:lang w:val="it-IT"/>
                    </w:rPr>
                    <w:t xml:space="preserve"> </w:t>
                  </w:r>
                  <w:r w:rsidR="00BF3EF3">
                    <w:rPr>
                      <w:lang w:val="it-IT"/>
                    </w:rPr>
                    <w:t>Novembre</w:t>
                  </w:r>
                  <w:r>
                    <w:rPr>
                      <w:lang w:val="it-IT"/>
                    </w:rPr>
                    <w:t xml:space="preserve"> </w:t>
                  </w:r>
                  <w:r>
                    <w:rPr>
                      <w:lang w:val="it-IT"/>
                    </w:rPr>
                    <w:t>201</w:t>
                  </w:r>
                  <w:r w:rsidR="00045976">
                    <w:rPr>
                      <w:lang w:val="it-IT"/>
                    </w:rPr>
                    <w:t>9</w:t>
                  </w:r>
                  <w:bookmarkStart w:id="0" w:name="_GoBack"/>
                  <w:bookmarkEnd w:id="0"/>
                </w:p>
                <w:p w:rsidR="00F046A6" w:rsidRDefault="00F046A6" w:rsidP="00F046A6">
                  <w:pPr>
                    <w:spacing w:line="240" w:lineRule="auto"/>
                    <w:jc w:val="center"/>
                    <w:rPr>
                      <w:lang w:val="it-IT"/>
                    </w:rPr>
                  </w:pPr>
                </w:p>
                <w:p w:rsidR="00F046A6" w:rsidRPr="00F046A6" w:rsidRDefault="00B061DB" w:rsidP="00F046A6">
                  <w:pPr>
                    <w:spacing w:line="240" w:lineRule="auto"/>
                    <w:jc w:val="center"/>
                    <w:rPr>
                      <w:u w:val="single"/>
                      <w:lang w:val="it-IT"/>
                    </w:rPr>
                  </w:pPr>
                  <w:r>
                    <w:rPr>
                      <w:b/>
                      <w:bCs/>
                      <w:u w:val="single"/>
                      <w:lang w:val="it-IT"/>
                    </w:rPr>
                    <w:t>Saggi al Tubicino</w:t>
                  </w:r>
                </w:p>
              </w:txbxContent>
            </v:textbox>
          </v:shape>
        </w:pict>
      </w: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F046A6" w:rsidRPr="00F046A6" w:rsidRDefault="00F046A6" w:rsidP="00F046A6">
      <w:pPr>
        <w:rPr>
          <w:lang w:val="it-IT"/>
        </w:rPr>
      </w:pPr>
    </w:p>
    <w:p w:rsidR="00A015D8" w:rsidRDefault="00A015D8" w:rsidP="00D769B2">
      <w:pPr>
        <w:spacing w:line="240" w:lineRule="auto"/>
        <w:rPr>
          <w:lang w:val="it-IT"/>
        </w:rPr>
      </w:pPr>
    </w:p>
    <w:p w:rsidR="00B86423" w:rsidRPr="00F046A6" w:rsidRDefault="00B86423" w:rsidP="00A015D8">
      <w:pPr>
        <w:spacing w:line="240" w:lineRule="auto"/>
        <w:jc w:val="center"/>
        <w:rPr>
          <w:lang w:val="it-IT"/>
        </w:rPr>
      </w:pPr>
    </w:p>
    <w:p w:rsidR="00B061DB" w:rsidRPr="00B061DB" w:rsidRDefault="00B061DB" w:rsidP="00B061DB">
      <w:pPr>
        <w:spacing w:line="240" w:lineRule="auto"/>
        <w:rPr>
          <w:i/>
          <w:iCs/>
          <w:lang w:val="it-IT"/>
        </w:rPr>
      </w:pPr>
      <w:r w:rsidRPr="00B061DB">
        <w:rPr>
          <w:i/>
          <w:iCs/>
          <w:lang w:val="it-IT"/>
        </w:rPr>
        <w:t>Premessa</w:t>
      </w:r>
    </w:p>
    <w:p w:rsidR="00B061DB" w:rsidRPr="00B061DB" w:rsidRDefault="00B061DB" w:rsidP="00B061DB">
      <w:pPr>
        <w:spacing w:line="240" w:lineRule="auto"/>
        <w:rPr>
          <w:lang w:val="it-IT"/>
        </w:rPr>
      </w:pPr>
      <w:r w:rsidRPr="00B061DB">
        <w:rPr>
          <w:lang w:val="it-IT"/>
        </w:rPr>
        <w:t xml:space="preserve">Il saggio al tubicino permette di esaminare il comportamento delle sostanze al </w:t>
      </w:r>
      <w:r>
        <w:rPr>
          <w:lang w:val="it-IT"/>
        </w:rPr>
        <w:t xml:space="preserve">calor rosso </w:t>
      </w:r>
      <w:r w:rsidRPr="00B061DB">
        <w:rPr>
          <w:lang w:val="it-IT"/>
        </w:rPr>
        <w:t>consentendo di ricavare in molti casi informazioni sulla presenza o meno di determinati elementi.</w:t>
      </w:r>
    </w:p>
    <w:p w:rsidR="00B061DB" w:rsidRPr="00B061DB" w:rsidRDefault="00B061DB" w:rsidP="00B061DB">
      <w:pPr>
        <w:spacing w:line="240" w:lineRule="auto"/>
        <w:rPr>
          <w:lang w:val="it-IT"/>
        </w:rPr>
      </w:pPr>
      <w:r w:rsidRPr="00B061DB">
        <w:rPr>
          <w:lang w:val="it-IT"/>
        </w:rPr>
        <w:t>La sostanza viene riscaldata in un tubicino da saggio (da cui il nome) da sola o in presenza di altre</w:t>
      </w:r>
      <w:r>
        <w:rPr>
          <w:lang w:val="it-IT"/>
        </w:rPr>
        <w:t xml:space="preserve"> </w:t>
      </w:r>
      <w:r w:rsidRPr="00B061DB">
        <w:rPr>
          <w:lang w:val="it-IT"/>
        </w:rPr>
        <w:t>sostanze.</w:t>
      </w:r>
    </w:p>
    <w:p w:rsidR="005D5F3D" w:rsidRPr="00B061DB" w:rsidRDefault="00B061DB" w:rsidP="00B061DB">
      <w:pPr>
        <w:spacing w:line="240" w:lineRule="auto"/>
        <w:rPr>
          <w:lang w:val="it-IT"/>
        </w:rPr>
      </w:pPr>
      <w:r w:rsidRPr="00B061DB">
        <w:rPr>
          <w:lang w:val="it-IT"/>
        </w:rPr>
        <w:t>I fenomeni che possono essere osservati sono di seguito riportati</w:t>
      </w:r>
    </w:p>
    <w:p w:rsidR="00CD7E3F" w:rsidRDefault="00CD7E3F" w:rsidP="00CD7E3F">
      <w:pPr>
        <w:pStyle w:val="Paragrafoelenco"/>
        <w:rPr>
          <w:lang w:val="it-IT"/>
        </w:rPr>
      </w:pPr>
    </w:p>
    <w:p w:rsidR="0059046F" w:rsidRPr="0059046F" w:rsidRDefault="0059046F" w:rsidP="000E41CC">
      <w:pPr>
        <w:spacing w:line="240" w:lineRule="auto"/>
        <w:rPr>
          <w:i/>
          <w:iCs/>
          <w:lang w:val="it-IT"/>
        </w:rPr>
      </w:pPr>
      <w:r w:rsidRPr="0059046F">
        <w:rPr>
          <w:i/>
          <w:iCs/>
          <w:lang w:val="it-IT"/>
        </w:rPr>
        <w:t>I. Esame del comportamento della sostanza al calor rosso</w:t>
      </w:r>
    </w:p>
    <w:p w:rsidR="0059046F" w:rsidRPr="00D656D1" w:rsidRDefault="0059046F" w:rsidP="000E41CC">
      <w:pPr>
        <w:spacing w:line="240" w:lineRule="auto"/>
        <w:rPr>
          <w:b/>
          <w:lang w:val="it-IT"/>
        </w:rPr>
      </w:pPr>
      <w:r w:rsidRPr="00D656D1">
        <w:rPr>
          <w:b/>
          <w:lang w:val="it-IT"/>
        </w:rPr>
        <w:t>1. Cambiamento reversibile del colore</w:t>
      </w:r>
    </w:p>
    <w:p w:rsidR="0059046F" w:rsidRP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Il cambiamento reversibile del colore al variare della temperatura (</w:t>
      </w:r>
      <w:r w:rsidRPr="0059046F">
        <w:rPr>
          <w:i/>
          <w:iCs/>
          <w:lang w:val="it-IT"/>
        </w:rPr>
        <w:t>termocromismo</w:t>
      </w:r>
      <w:r w:rsidRPr="0059046F">
        <w:rPr>
          <w:lang w:val="it-IT"/>
        </w:rPr>
        <w:t>) è una</w:t>
      </w:r>
      <w:r>
        <w:rPr>
          <w:lang w:val="it-IT"/>
        </w:rPr>
        <w:t xml:space="preserve"> </w:t>
      </w:r>
      <w:r w:rsidRPr="0059046F">
        <w:rPr>
          <w:lang w:val="it-IT"/>
        </w:rPr>
        <w:t>proprietà tipica, ma non esclusiva, di numerosi ossidi che, ad alta temperatura, hanno un colore</w:t>
      </w:r>
      <w:r>
        <w:rPr>
          <w:lang w:val="it-IT"/>
        </w:rPr>
        <w:t xml:space="preserve"> </w:t>
      </w:r>
      <w:r w:rsidRPr="0059046F">
        <w:rPr>
          <w:lang w:val="it-IT"/>
        </w:rPr>
        <w:t>nettamente diverso da quello a temperatura ambiente.</w:t>
      </w:r>
    </w:p>
    <w:p w:rsidR="00CD7E3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Il cambiamento del colore può essere dovuto sia a transizioni ordine-disordine (ossia al</w:t>
      </w:r>
      <w:r>
        <w:rPr>
          <w:lang w:val="it-IT"/>
        </w:rPr>
        <w:t xml:space="preserve"> </w:t>
      </w:r>
      <w:r w:rsidRPr="0059046F">
        <w:rPr>
          <w:lang w:val="it-IT"/>
        </w:rPr>
        <w:t>passaggio da una fase solida a struttura ordinata ad un’altra fase solida a struttura parzialmente</w:t>
      </w:r>
      <w:r>
        <w:rPr>
          <w:lang w:val="it-IT"/>
        </w:rPr>
        <w:t xml:space="preserve"> </w:t>
      </w:r>
      <w:r w:rsidRPr="0059046F">
        <w:rPr>
          <w:lang w:val="it-IT"/>
        </w:rPr>
        <w:t>disordinata), sia a cambiamenti della geometria di coordinazione del metallo (anche questi di solito</w:t>
      </w:r>
      <w:r>
        <w:rPr>
          <w:lang w:val="it-IT"/>
        </w:rPr>
        <w:t xml:space="preserve"> </w:t>
      </w:r>
      <w:r w:rsidRPr="0059046F">
        <w:rPr>
          <w:lang w:val="it-IT"/>
        </w:rPr>
        <w:t>associati a cambiamento di fase). La presenza di impurezze può influire sensibilmente sulle</w:t>
      </w:r>
      <w:r>
        <w:rPr>
          <w:lang w:val="it-IT"/>
        </w:rPr>
        <w:t xml:space="preserve"> </w:t>
      </w:r>
      <w:r w:rsidRPr="0059046F">
        <w:rPr>
          <w:lang w:val="it-IT"/>
        </w:rPr>
        <w:t>variazioni di colore.</w:t>
      </w:r>
    </w:p>
    <w:p w:rsidR="000E41CC" w:rsidRPr="00CD7E3F" w:rsidRDefault="000E41CC" w:rsidP="000E41CC">
      <w:pPr>
        <w:spacing w:line="240" w:lineRule="auto"/>
        <w:rPr>
          <w:lang w:val="it-IT"/>
        </w:rPr>
      </w:pPr>
    </w:p>
    <w:p w:rsidR="0059046F" w:rsidRPr="00D656D1" w:rsidRDefault="0059046F" w:rsidP="000E41CC">
      <w:pPr>
        <w:spacing w:line="240" w:lineRule="auto"/>
        <w:rPr>
          <w:b/>
          <w:lang w:val="it-IT"/>
        </w:rPr>
      </w:pPr>
      <w:r w:rsidRPr="00D656D1">
        <w:rPr>
          <w:b/>
          <w:lang w:val="it-IT"/>
        </w:rPr>
        <w:t>2. Fusione</w:t>
      </w:r>
    </w:p>
    <w:p w:rsidR="0059046F" w:rsidRP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La fusione del campione in esame durante il saggio al tubicino è di per sé poco diagnostica, in</w:t>
      </w:r>
    </w:p>
    <w:p w:rsidR="0059046F" w:rsidRP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quanto sono numerose le sostanze che fondono prima ancora di raggiungere il calor rosso. Si</w:t>
      </w:r>
    </w:p>
    <w:p w:rsid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possono citare, ad esempio, molti sali di metalli alcalini e moltissime sostanze organiche. Nel caso</w:t>
      </w:r>
      <w:r>
        <w:rPr>
          <w:lang w:val="it-IT"/>
        </w:rPr>
        <w:t xml:space="preserve"> </w:t>
      </w:r>
      <w:r w:rsidRPr="0059046F">
        <w:rPr>
          <w:lang w:val="it-IT"/>
        </w:rPr>
        <w:t>di queste ultime, la fusione è generalmente accompagnata da decomposizione, a causa dell’elevata</w:t>
      </w:r>
      <w:r>
        <w:rPr>
          <w:lang w:val="it-IT"/>
        </w:rPr>
        <w:t xml:space="preserve"> </w:t>
      </w:r>
      <w:r w:rsidRPr="0059046F">
        <w:rPr>
          <w:lang w:val="it-IT"/>
        </w:rPr>
        <w:t>temperatura che si raggiunge nel saggio.</w:t>
      </w:r>
    </w:p>
    <w:p w:rsidR="000E41CC" w:rsidRPr="0059046F" w:rsidRDefault="000E41CC" w:rsidP="000E41CC">
      <w:pPr>
        <w:spacing w:line="240" w:lineRule="auto"/>
        <w:rPr>
          <w:lang w:val="it-IT"/>
        </w:rPr>
      </w:pPr>
    </w:p>
    <w:p w:rsidR="0059046F" w:rsidRPr="00D656D1" w:rsidRDefault="0059046F" w:rsidP="000E41CC">
      <w:pPr>
        <w:spacing w:line="240" w:lineRule="auto"/>
        <w:rPr>
          <w:b/>
          <w:lang w:val="it-IT"/>
        </w:rPr>
      </w:pPr>
      <w:r w:rsidRPr="00D656D1">
        <w:rPr>
          <w:b/>
          <w:lang w:val="it-IT"/>
        </w:rPr>
        <w:t>3. Formazione di sublimati</w:t>
      </w:r>
    </w:p>
    <w:p w:rsidR="00CD7E3F" w:rsidRPr="00CD7E3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Alcune sostanze, portate al calor rosso, vaporizzano indecomposte, con o senza fusione. I vapori</w:t>
      </w:r>
      <w:r>
        <w:rPr>
          <w:lang w:val="it-IT"/>
        </w:rPr>
        <w:t xml:space="preserve"> </w:t>
      </w:r>
      <w:r w:rsidRPr="0059046F">
        <w:rPr>
          <w:lang w:val="it-IT"/>
        </w:rPr>
        <w:t>che si formano condensano in cristalli minuti sulle pareti fredde del tubicino, dando luogo a</w:t>
      </w:r>
      <w:r>
        <w:rPr>
          <w:lang w:val="it-IT"/>
        </w:rPr>
        <w:t xml:space="preserve"> </w:t>
      </w:r>
      <w:r w:rsidRPr="0059046F">
        <w:rPr>
          <w:lang w:val="it-IT"/>
        </w:rPr>
        <w:t>sublimati spesso caratteristici.</w:t>
      </w:r>
    </w:p>
    <w:p w:rsidR="00CD7E3F" w:rsidRPr="00CD7E3F" w:rsidRDefault="00CD7E3F" w:rsidP="00CD7E3F">
      <w:pPr>
        <w:rPr>
          <w:lang w:val="it-IT"/>
        </w:rPr>
      </w:pPr>
    </w:p>
    <w:p w:rsidR="0059046F" w:rsidRP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Lo zolfo elementare (S) fonde con abbondante sviluppo di vapori, che sublimano sulle pareti</w:t>
      </w:r>
    </w:p>
    <w:p w:rsidR="0059046F" w:rsidRP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fredde del tubicino. Il colore della massa fusa passa dal giallo citrino al rosso cupo; per</w:t>
      </w:r>
      <w:r>
        <w:rPr>
          <w:lang w:val="it-IT"/>
        </w:rPr>
        <w:t xml:space="preserve"> </w:t>
      </w:r>
      <w:r w:rsidRPr="0059046F">
        <w:rPr>
          <w:lang w:val="it-IT"/>
        </w:rPr>
        <w:t>raffreddamento il colore ritorna lentamente giallo.</w:t>
      </w:r>
    </w:p>
    <w:p w:rsidR="0059046F" w:rsidRP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Gli alogenuri di ammonio (NH</w:t>
      </w:r>
      <w:r w:rsidRPr="0059046F">
        <w:rPr>
          <w:vertAlign w:val="subscript"/>
          <w:lang w:val="it-IT"/>
        </w:rPr>
        <w:t>4</w:t>
      </w:r>
      <w:r w:rsidRPr="0059046F">
        <w:rPr>
          <w:lang w:val="it-IT"/>
        </w:rPr>
        <w:t>Cl, NH</w:t>
      </w:r>
      <w:r w:rsidRPr="0059046F">
        <w:rPr>
          <w:vertAlign w:val="subscript"/>
          <w:lang w:val="it-IT"/>
        </w:rPr>
        <w:t>4</w:t>
      </w:r>
      <w:r w:rsidRPr="0059046F">
        <w:rPr>
          <w:lang w:val="it-IT"/>
        </w:rPr>
        <w:t>Br, NH</w:t>
      </w:r>
      <w:r w:rsidRPr="0059046F">
        <w:rPr>
          <w:vertAlign w:val="subscript"/>
          <w:lang w:val="it-IT"/>
        </w:rPr>
        <w:t>4</w:t>
      </w:r>
      <w:r w:rsidRPr="0059046F">
        <w:rPr>
          <w:lang w:val="it-IT"/>
        </w:rPr>
        <w:t>I) danno luogo senza fondere a sublimati bianchi</w:t>
      </w:r>
      <w:r>
        <w:rPr>
          <w:lang w:val="it-IT"/>
        </w:rPr>
        <w:t xml:space="preserve"> </w:t>
      </w:r>
      <w:r w:rsidRPr="0059046F">
        <w:rPr>
          <w:lang w:val="it-IT"/>
        </w:rPr>
        <w:t>solubili in acqua fredda.</w:t>
      </w:r>
    </w:p>
    <w:p w:rsidR="0059046F" w:rsidRP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L’anidride arseniosa As</w:t>
      </w:r>
      <w:r w:rsidRPr="0059046F">
        <w:rPr>
          <w:vertAlign w:val="subscript"/>
          <w:lang w:val="it-IT"/>
        </w:rPr>
        <w:t>2</w:t>
      </w:r>
      <w:r w:rsidRPr="0059046F">
        <w:rPr>
          <w:lang w:val="it-IT"/>
        </w:rPr>
        <w:t>O</w:t>
      </w:r>
      <w:r w:rsidRPr="0059046F">
        <w:rPr>
          <w:vertAlign w:val="subscript"/>
          <w:lang w:val="it-IT"/>
        </w:rPr>
        <w:t>3</w:t>
      </w:r>
      <w:r w:rsidRPr="0059046F">
        <w:rPr>
          <w:lang w:val="it-IT"/>
        </w:rPr>
        <w:t xml:space="preserve"> dà luogo ad un sublimato bianco praticamente insolubile in acqua</w:t>
      </w:r>
    </w:p>
    <w:p w:rsid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lastRenderedPageBreak/>
        <w:t>fredda, e che non sviluppa alcuna colorazione con ammoniaca o con soluzioni di idrossidi alcalini.</w:t>
      </w:r>
      <w:r w:rsidR="003B097B">
        <w:rPr>
          <w:lang w:val="it-IT"/>
        </w:rPr>
        <w:t xml:space="preserve"> </w:t>
      </w:r>
      <w:r w:rsidRPr="0059046F">
        <w:rPr>
          <w:lang w:val="it-IT"/>
        </w:rPr>
        <w:t>Il cloruro mercuroso o calomelano (Hg</w:t>
      </w:r>
      <w:r w:rsidRPr="0059046F">
        <w:rPr>
          <w:vertAlign w:val="subscript"/>
          <w:lang w:val="it-IT"/>
        </w:rPr>
        <w:t>2</w:t>
      </w:r>
      <w:r w:rsidRPr="0059046F">
        <w:rPr>
          <w:lang w:val="it-IT"/>
        </w:rPr>
        <w:t>Cl</w:t>
      </w:r>
      <w:r w:rsidRPr="0059046F">
        <w:rPr>
          <w:vertAlign w:val="subscript"/>
          <w:lang w:val="it-IT"/>
        </w:rPr>
        <w:t>2</w:t>
      </w:r>
      <w:r w:rsidRPr="0059046F">
        <w:rPr>
          <w:lang w:val="it-IT"/>
        </w:rPr>
        <w:t>) sublima senza fondere; il sublimato è di colore</w:t>
      </w:r>
      <w:r w:rsidR="003B097B">
        <w:rPr>
          <w:lang w:val="it-IT"/>
        </w:rPr>
        <w:t xml:space="preserve"> </w:t>
      </w:r>
      <w:r w:rsidRPr="0059046F">
        <w:rPr>
          <w:lang w:val="it-IT"/>
        </w:rPr>
        <w:t>bianco tendente al grigio. Il colore diventa, però, nero per aggiunta di ammoniaca diluita, in quanto</w:t>
      </w:r>
      <w:r>
        <w:rPr>
          <w:lang w:val="it-IT"/>
        </w:rPr>
        <w:t xml:space="preserve"> </w:t>
      </w:r>
      <w:r w:rsidRPr="0059046F">
        <w:rPr>
          <w:lang w:val="it-IT"/>
        </w:rPr>
        <w:t>il cloruro mercuroso disproporziona a cloruro amidomercurico e mercurio metallico (finemente</w:t>
      </w:r>
      <w:r>
        <w:rPr>
          <w:lang w:val="it-IT"/>
        </w:rPr>
        <w:t xml:space="preserve"> </w:t>
      </w:r>
      <w:r w:rsidRPr="0059046F">
        <w:rPr>
          <w:lang w:val="it-IT"/>
        </w:rPr>
        <w:t>suddiviso e quindi di colore nero):</w:t>
      </w:r>
    </w:p>
    <w:p w:rsidR="0059046F" w:rsidRPr="0059046F" w:rsidRDefault="0059046F" w:rsidP="00B86423">
      <w:pPr>
        <w:spacing w:line="240" w:lineRule="auto"/>
        <w:rPr>
          <w:lang w:val="it-IT"/>
        </w:rPr>
      </w:pPr>
    </w:p>
    <w:p w:rsidR="0059046F" w:rsidRDefault="0059046F" w:rsidP="00B86423">
      <w:pPr>
        <w:spacing w:line="240" w:lineRule="auto"/>
        <w:jc w:val="center"/>
        <w:rPr>
          <w:lang w:val="it-IT"/>
        </w:rPr>
      </w:pPr>
      <w:r w:rsidRPr="0059046F">
        <w:rPr>
          <w:lang w:val="it-IT"/>
        </w:rPr>
        <w:t>Hg</w:t>
      </w:r>
      <w:r w:rsidRPr="0059046F">
        <w:rPr>
          <w:vertAlign w:val="subscript"/>
          <w:lang w:val="it-IT"/>
        </w:rPr>
        <w:t>2</w:t>
      </w:r>
      <w:r w:rsidRPr="0059046F">
        <w:rPr>
          <w:lang w:val="it-IT"/>
        </w:rPr>
        <w:t>Cl</w:t>
      </w:r>
      <w:r w:rsidRPr="0059046F">
        <w:rPr>
          <w:vertAlign w:val="subscript"/>
          <w:lang w:val="it-IT"/>
        </w:rPr>
        <w:t>2</w:t>
      </w:r>
      <w:r w:rsidRPr="0059046F">
        <w:rPr>
          <w:lang w:val="it-IT"/>
        </w:rPr>
        <w:t xml:space="preserve"> + 2NH</w:t>
      </w:r>
      <w:r w:rsidRPr="0059046F">
        <w:rPr>
          <w:vertAlign w:val="subscript"/>
          <w:lang w:val="it-IT"/>
        </w:rPr>
        <w:t>3</w:t>
      </w:r>
      <w:r w:rsidRPr="0059046F">
        <w:rPr>
          <w:lang w:val="it-IT"/>
        </w:rPr>
        <w:t xml:space="preserve"> → </w:t>
      </w:r>
      <w:proofErr w:type="gramStart"/>
      <w:r w:rsidRPr="0059046F">
        <w:rPr>
          <w:lang w:val="it-IT"/>
        </w:rPr>
        <w:t>Hg(</w:t>
      </w:r>
      <w:proofErr w:type="gramEnd"/>
      <w:r w:rsidRPr="0059046F">
        <w:rPr>
          <w:lang w:val="it-IT"/>
        </w:rPr>
        <w:t>NH</w:t>
      </w:r>
      <w:r w:rsidRPr="0059046F">
        <w:rPr>
          <w:vertAlign w:val="subscript"/>
          <w:lang w:val="it-IT"/>
        </w:rPr>
        <w:t>2</w:t>
      </w:r>
      <w:r w:rsidRPr="0059046F">
        <w:rPr>
          <w:lang w:val="it-IT"/>
        </w:rPr>
        <w:t>)Cl + Hg + NH</w:t>
      </w:r>
      <w:r w:rsidRPr="0059046F">
        <w:rPr>
          <w:vertAlign w:val="subscript"/>
          <w:lang w:val="it-IT"/>
        </w:rPr>
        <w:t>4</w:t>
      </w:r>
      <w:r w:rsidRPr="0059046F">
        <w:rPr>
          <w:lang w:val="it-IT"/>
        </w:rPr>
        <w:t>Cl</w:t>
      </w:r>
    </w:p>
    <w:p w:rsidR="0059046F" w:rsidRPr="0059046F" w:rsidRDefault="0059046F" w:rsidP="00B86423">
      <w:pPr>
        <w:spacing w:line="240" w:lineRule="auto"/>
        <w:jc w:val="center"/>
        <w:rPr>
          <w:lang w:val="it-IT"/>
        </w:rPr>
      </w:pPr>
    </w:p>
    <w:p w:rsidR="0059046F" w:rsidRP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Anche il trattamento con soluzioni di idrossidi alcalini dà luogo ad una analoga reazione, con</w:t>
      </w:r>
    </w:p>
    <w:p w:rsidR="0059046F" w:rsidRDefault="0059046F" w:rsidP="000E41CC">
      <w:pPr>
        <w:spacing w:line="240" w:lineRule="auto"/>
        <w:rPr>
          <w:lang w:val="it-IT"/>
        </w:rPr>
      </w:pPr>
      <w:r w:rsidRPr="0059046F">
        <w:rPr>
          <w:lang w:val="it-IT"/>
        </w:rPr>
        <w:t>comparsa della stessa colorazione nera:</w:t>
      </w:r>
    </w:p>
    <w:p w:rsidR="000E41CC" w:rsidRPr="0059046F" w:rsidRDefault="000E41CC" w:rsidP="00B86423">
      <w:pPr>
        <w:spacing w:line="240" w:lineRule="auto"/>
        <w:rPr>
          <w:lang w:val="it-IT"/>
        </w:rPr>
      </w:pPr>
    </w:p>
    <w:p w:rsidR="0059046F" w:rsidRDefault="0059046F" w:rsidP="00B86423">
      <w:pPr>
        <w:spacing w:line="240" w:lineRule="auto"/>
        <w:jc w:val="center"/>
        <w:rPr>
          <w:lang w:val="it-IT"/>
        </w:rPr>
      </w:pPr>
      <w:r w:rsidRPr="0059046F">
        <w:rPr>
          <w:lang w:val="it-IT"/>
        </w:rPr>
        <w:t>Hg</w:t>
      </w:r>
      <w:r w:rsidRPr="000E41CC">
        <w:rPr>
          <w:vertAlign w:val="subscript"/>
          <w:lang w:val="it-IT"/>
        </w:rPr>
        <w:t>2</w:t>
      </w:r>
      <w:r w:rsidRPr="0059046F">
        <w:rPr>
          <w:lang w:val="it-IT"/>
        </w:rPr>
        <w:t>Cl</w:t>
      </w:r>
      <w:r w:rsidRPr="000E41CC">
        <w:rPr>
          <w:vertAlign w:val="subscript"/>
          <w:lang w:val="it-IT"/>
        </w:rPr>
        <w:t>2</w:t>
      </w:r>
      <w:r w:rsidRPr="0059046F">
        <w:rPr>
          <w:lang w:val="it-IT"/>
        </w:rPr>
        <w:t xml:space="preserve"> + 2OH</w:t>
      </w:r>
      <w:r w:rsidR="000E41CC">
        <w:rPr>
          <w:vertAlign w:val="superscript"/>
          <w:lang w:val="it-IT"/>
        </w:rPr>
        <w:t>‾</w:t>
      </w:r>
      <w:r w:rsidRPr="0059046F">
        <w:rPr>
          <w:lang w:val="it-IT"/>
        </w:rPr>
        <w:t xml:space="preserve"> → HgO + Hg + 2Cl</w:t>
      </w:r>
      <w:r w:rsidR="000E41CC" w:rsidRPr="000E41CC">
        <w:rPr>
          <w:vertAlign w:val="superscript"/>
          <w:lang w:val="it-IT"/>
        </w:rPr>
        <w:t>‾</w:t>
      </w:r>
      <w:r w:rsidRPr="0059046F">
        <w:rPr>
          <w:lang w:val="it-IT"/>
        </w:rPr>
        <w:t xml:space="preserve"> + H</w:t>
      </w:r>
      <w:r w:rsidRPr="000E41CC">
        <w:rPr>
          <w:vertAlign w:val="subscript"/>
          <w:lang w:val="it-IT"/>
        </w:rPr>
        <w:t>2</w:t>
      </w:r>
      <w:r w:rsidRPr="0059046F">
        <w:rPr>
          <w:lang w:val="it-IT"/>
        </w:rPr>
        <w:t>O</w:t>
      </w:r>
    </w:p>
    <w:p w:rsidR="000E41CC" w:rsidRPr="0059046F" w:rsidRDefault="000E41CC" w:rsidP="00B86423">
      <w:pPr>
        <w:spacing w:line="240" w:lineRule="auto"/>
        <w:jc w:val="center"/>
        <w:rPr>
          <w:lang w:val="it-IT"/>
        </w:rPr>
      </w:pPr>
    </w:p>
    <w:p w:rsidR="000E41CC" w:rsidRPr="000E41CC" w:rsidRDefault="000E41CC" w:rsidP="000E41CC">
      <w:pPr>
        <w:spacing w:line="240" w:lineRule="auto"/>
        <w:rPr>
          <w:lang w:val="it-IT"/>
        </w:rPr>
      </w:pPr>
      <w:r w:rsidRPr="000E41CC">
        <w:rPr>
          <w:lang w:val="it-IT"/>
        </w:rPr>
        <w:t>Il cloruro mercurico HgCl</w:t>
      </w:r>
      <w:r w:rsidRPr="000E41CC">
        <w:rPr>
          <w:vertAlign w:val="subscript"/>
          <w:lang w:val="it-IT"/>
        </w:rPr>
        <w:t>2</w:t>
      </w:r>
      <w:r w:rsidRPr="000E41CC">
        <w:rPr>
          <w:lang w:val="it-IT"/>
        </w:rPr>
        <w:t xml:space="preserve"> fonde sviluppando abbondanti vapori, che condensano in un</w:t>
      </w:r>
      <w:r>
        <w:rPr>
          <w:lang w:val="it-IT"/>
        </w:rPr>
        <w:t xml:space="preserve"> </w:t>
      </w:r>
      <w:r w:rsidRPr="000E41CC">
        <w:rPr>
          <w:lang w:val="it-IT"/>
        </w:rPr>
        <w:t>sublimato bianco. Questo non dà alcuna reazione con ammoniaca, ma si colora in giallo intenso con</w:t>
      </w:r>
      <w:r>
        <w:rPr>
          <w:lang w:val="it-IT"/>
        </w:rPr>
        <w:t xml:space="preserve"> </w:t>
      </w:r>
      <w:r w:rsidRPr="000E41CC">
        <w:rPr>
          <w:lang w:val="it-IT"/>
        </w:rPr>
        <w:t>soluzioni di idrossidi alcalini poiché ha luogo la reazione:</w:t>
      </w:r>
    </w:p>
    <w:p w:rsidR="000E41CC" w:rsidRDefault="000E41CC" w:rsidP="00B86423">
      <w:pPr>
        <w:spacing w:line="240" w:lineRule="auto"/>
        <w:rPr>
          <w:lang w:val="it-IT"/>
        </w:rPr>
      </w:pPr>
    </w:p>
    <w:p w:rsidR="000E41CC" w:rsidRDefault="000E41CC" w:rsidP="00B86423">
      <w:pPr>
        <w:spacing w:line="240" w:lineRule="auto"/>
        <w:jc w:val="center"/>
        <w:rPr>
          <w:lang w:val="it-IT"/>
        </w:rPr>
      </w:pPr>
      <w:r w:rsidRPr="000E41CC">
        <w:rPr>
          <w:lang w:val="it-IT"/>
        </w:rPr>
        <w:t>HgCl</w:t>
      </w:r>
      <w:r w:rsidRPr="000E41CC">
        <w:rPr>
          <w:vertAlign w:val="subscript"/>
          <w:lang w:val="it-IT"/>
        </w:rPr>
        <w:t>2</w:t>
      </w:r>
      <w:r w:rsidRPr="000E41CC">
        <w:rPr>
          <w:lang w:val="it-IT"/>
        </w:rPr>
        <w:t xml:space="preserve"> + 2OH</w:t>
      </w:r>
      <w:r w:rsidRPr="000E41CC">
        <w:rPr>
          <w:vertAlign w:val="superscript"/>
          <w:lang w:val="it-IT"/>
        </w:rPr>
        <w:t>‾</w:t>
      </w:r>
      <w:r w:rsidRPr="000E41CC">
        <w:rPr>
          <w:lang w:val="it-IT"/>
        </w:rPr>
        <w:t xml:space="preserve"> → HgO + 2Cl</w:t>
      </w:r>
      <w:r w:rsidRPr="000E41CC">
        <w:rPr>
          <w:vertAlign w:val="superscript"/>
          <w:lang w:val="it-IT"/>
        </w:rPr>
        <w:t>‾</w:t>
      </w:r>
      <w:r w:rsidRPr="000E41CC">
        <w:rPr>
          <w:lang w:val="it-IT"/>
        </w:rPr>
        <w:t xml:space="preserve"> + H</w:t>
      </w:r>
      <w:r w:rsidRPr="000E41CC">
        <w:rPr>
          <w:vertAlign w:val="subscript"/>
          <w:lang w:val="it-IT"/>
        </w:rPr>
        <w:t>2</w:t>
      </w:r>
      <w:r w:rsidRPr="000E41CC">
        <w:rPr>
          <w:lang w:val="it-IT"/>
        </w:rPr>
        <w:t>O</w:t>
      </w:r>
    </w:p>
    <w:p w:rsidR="000E41CC" w:rsidRPr="000E41CC" w:rsidRDefault="000E41CC" w:rsidP="00B86423">
      <w:pPr>
        <w:spacing w:line="240" w:lineRule="auto"/>
        <w:jc w:val="center"/>
        <w:rPr>
          <w:lang w:val="it-IT"/>
        </w:rPr>
      </w:pPr>
    </w:p>
    <w:p w:rsidR="000E41CC" w:rsidRPr="000E41CC" w:rsidRDefault="000E41CC" w:rsidP="000E41CC">
      <w:pPr>
        <w:spacing w:line="240" w:lineRule="auto"/>
        <w:rPr>
          <w:lang w:val="it-IT"/>
        </w:rPr>
      </w:pPr>
      <w:r w:rsidRPr="000E41CC">
        <w:rPr>
          <w:lang w:val="it-IT"/>
        </w:rPr>
        <w:t>che porta alla formazione di ossido di mercurio giallo.</w:t>
      </w:r>
    </w:p>
    <w:p w:rsidR="00E510C5" w:rsidRDefault="000E41CC" w:rsidP="000E41CC">
      <w:pPr>
        <w:spacing w:line="240" w:lineRule="auto"/>
        <w:rPr>
          <w:lang w:val="it-IT"/>
        </w:rPr>
      </w:pPr>
      <w:r w:rsidRPr="000E41CC">
        <w:rPr>
          <w:lang w:val="it-IT"/>
        </w:rPr>
        <w:t>Lo ioduro mercurico HgI</w:t>
      </w:r>
      <w:r w:rsidRPr="000E41CC">
        <w:rPr>
          <w:vertAlign w:val="subscript"/>
          <w:lang w:val="it-IT"/>
        </w:rPr>
        <w:t>2</w:t>
      </w:r>
      <w:r w:rsidRPr="000E41CC">
        <w:rPr>
          <w:lang w:val="it-IT"/>
        </w:rPr>
        <w:t xml:space="preserve"> è a temperatura ambiente una polvere rossa. Riscaldato in tubicino dà</w:t>
      </w:r>
      <w:r>
        <w:rPr>
          <w:lang w:val="it-IT"/>
        </w:rPr>
        <w:t xml:space="preserve"> </w:t>
      </w:r>
      <w:r w:rsidRPr="000E41CC">
        <w:rPr>
          <w:lang w:val="it-IT"/>
        </w:rPr>
        <w:t xml:space="preserve">luogo ad un sublimato giallo, che a freddo diventa rapidamente rosso </w:t>
      </w:r>
      <w:r>
        <w:rPr>
          <w:lang w:val="it-IT"/>
        </w:rPr>
        <w:t>per sfregamento</w:t>
      </w:r>
      <w:r w:rsidRPr="000E41CC">
        <w:rPr>
          <w:lang w:val="it-IT"/>
        </w:rPr>
        <w:t xml:space="preserve"> con una</w:t>
      </w:r>
      <w:r>
        <w:rPr>
          <w:lang w:val="it-IT"/>
        </w:rPr>
        <w:t xml:space="preserve"> </w:t>
      </w:r>
      <w:r w:rsidRPr="000E41CC">
        <w:rPr>
          <w:lang w:val="it-IT"/>
        </w:rPr>
        <w:t>bacchettina di vetro. Il cambiamento di colore del sublimato, utile per l’identificazione, è dovuto ad</w:t>
      </w:r>
      <w:r>
        <w:rPr>
          <w:lang w:val="it-IT"/>
        </w:rPr>
        <w:t xml:space="preserve"> </w:t>
      </w:r>
      <w:r w:rsidRPr="000E41CC">
        <w:rPr>
          <w:lang w:val="it-IT"/>
        </w:rPr>
        <w:t>una trasformazione di fase (la modificazione cristallina gialla, meno stabile a bassa temperatura, si</w:t>
      </w:r>
      <w:r>
        <w:rPr>
          <w:lang w:val="it-IT"/>
        </w:rPr>
        <w:t xml:space="preserve"> </w:t>
      </w:r>
      <w:r w:rsidRPr="000E41CC">
        <w:rPr>
          <w:lang w:val="it-IT"/>
        </w:rPr>
        <w:t>trasforma in quella rossa più stabile), trasformazione che viene innescata dallo sfregamento o dal</w:t>
      </w:r>
      <w:r>
        <w:rPr>
          <w:lang w:val="it-IT"/>
        </w:rPr>
        <w:t xml:space="preserve"> </w:t>
      </w:r>
      <w:r w:rsidRPr="000E41CC">
        <w:rPr>
          <w:lang w:val="it-IT"/>
        </w:rPr>
        <w:t>contatto con un germe della modificazione più stabile.</w:t>
      </w:r>
    </w:p>
    <w:p w:rsidR="00D656D1" w:rsidRDefault="00D656D1" w:rsidP="000E41CC">
      <w:pPr>
        <w:spacing w:line="240" w:lineRule="auto"/>
        <w:rPr>
          <w:lang w:val="it-IT"/>
        </w:rPr>
      </w:pPr>
    </w:p>
    <w:p w:rsidR="00B83B9A" w:rsidRDefault="00D656D1" w:rsidP="000E41CC">
      <w:pPr>
        <w:spacing w:line="240" w:lineRule="auto"/>
        <w:rPr>
          <w:b/>
          <w:lang w:val="it-IT"/>
        </w:rPr>
      </w:pPr>
      <w:r w:rsidRPr="00B83B9A">
        <w:rPr>
          <w:b/>
          <w:lang w:val="it-IT"/>
        </w:rPr>
        <w:t>4. Decomposizione con sviluppo di prodotti gassosi</w:t>
      </w:r>
    </w:p>
    <w:p w:rsidR="00B83B9A" w:rsidRDefault="00B83B9A" w:rsidP="000E41CC">
      <w:pPr>
        <w:spacing w:line="240" w:lineRule="auto"/>
        <w:rPr>
          <w:lang w:val="it-IT"/>
        </w:rPr>
      </w:pPr>
      <w:r>
        <w:rPr>
          <w:lang w:val="it-IT"/>
        </w:rPr>
        <w:t>Il saggio con acido solforico concentrato riesce assai utile per il riconoscimento di vari anioni. Infatti:</w:t>
      </w:r>
    </w:p>
    <w:p w:rsidR="00B83B9A" w:rsidRPr="00B83B9A" w:rsidRDefault="00B83B9A" w:rsidP="000E41CC">
      <w:pPr>
        <w:spacing w:line="240" w:lineRule="auto"/>
        <w:rPr>
          <w:lang w:val="it-IT"/>
        </w:rPr>
      </w:pPr>
    </w:p>
    <w:p w:rsidR="00B83B9A" w:rsidRDefault="00B83B9A" w:rsidP="00B83B9A">
      <w:pPr>
        <w:pStyle w:val="Paragrafoelenco"/>
        <w:numPr>
          <w:ilvl w:val="0"/>
          <w:numId w:val="5"/>
        </w:numPr>
        <w:spacing w:line="240" w:lineRule="auto"/>
        <w:rPr>
          <w:lang w:val="it-IT"/>
        </w:rPr>
      </w:pPr>
      <w:r w:rsidRPr="00B83B9A">
        <w:rPr>
          <w:lang w:val="it-IT"/>
        </w:rPr>
        <w:t>Molti nitrati, portati al calor rosso, si decompongono con formazione di ipoazotide NO</w:t>
      </w:r>
      <w:r w:rsidRPr="00B83B9A">
        <w:rPr>
          <w:vertAlign w:val="subscript"/>
          <w:lang w:val="it-IT"/>
        </w:rPr>
        <w:t>2</w:t>
      </w:r>
      <w:r w:rsidRPr="00B83B9A">
        <w:rPr>
          <w:lang w:val="it-IT"/>
        </w:rPr>
        <w:t>, gas di colore bruno rossastro e di odore sgradevole caratteristico. La decomposizione è particolarmente vivace per i nitrati dei metalli pesanti.</w:t>
      </w:r>
    </w:p>
    <w:p w:rsidR="00B83B9A" w:rsidRDefault="00B83B9A" w:rsidP="00B83B9A">
      <w:pPr>
        <w:pStyle w:val="Paragrafoelenco"/>
        <w:numPr>
          <w:ilvl w:val="0"/>
          <w:numId w:val="5"/>
        </w:numPr>
        <w:spacing w:line="240" w:lineRule="auto"/>
        <w:rPr>
          <w:lang w:val="it-IT"/>
        </w:rPr>
      </w:pPr>
      <w:r>
        <w:rPr>
          <w:lang w:val="it-IT"/>
        </w:rPr>
        <w:t>Alcuni bromuri svolgono bromo elementare (vapori di colore bruno-rossastro simile a quello dell’ipoazotide, aventi odore assai sgradevole; è possibile distinguerli dall’ipoazotide accostando alla bocca del tubicino un dischetto di carta da filtro imbevuto di soluzione di fluoresceina, che per azione del bromo sviluppa una colorazione rosa).</w:t>
      </w:r>
    </w:p>
    <w:p w:rsidR="00B83B9A" w:rsidRPr="00B83B9A" w:rsidRDefault="00B83B9A" w:rsidP="00B83B9A">
      <w:pPr>
        <w:pStyle w:val="Paragrafoelenco"/>
        <w:numPr>
          <w:ilvl w:val="0"/>
          <w:numId w:val="5"/>
        </w:numPr>
        <w:spacing w:line="240" w:lineRule="auto"/>
        <w:rPr>
          <w:lang w:val="it-IT"/>
        </w:rPr>
      </w:pPr>
      <w:r>
        <w:rPr>
          <w:lang w:val="it-IT"/>
        </w:rPr>
        <w:t>Gli ioduri svolgono iodio elementare (vapori violetti assai caratteristici).</w:t>
      </w:r>
    </w:p>
    <w:p w:rsidR="000E41CC" w:rsidRDefault="000E41CC" w:rsidP="000E41CC">
      <w:pPr>
        <w:spacing w:line="240" w:lineRule="auto"/>
        <w:rPr>
          <w:lang w:val="it-IT"/>
        </w:rPr>
      </w:pPr>
    </w:p>
    <w:p w:rsidR="000E41CC" w:rsidRPr="003B097B" w:rsidRDefault="000E41CC" w:rsidP="000E41CC">
      <w:pPr>
        <w:spacing w:line="240" w:lineRule="auto"/>
        <w:rPr>
          <w:i/>
          <w:iCs/>
          <w:lang w:val="it-IT"/>
        </w:rPr>
      </w:pPr>
      <w:r w:rsidRPr="003B097B">
        <w:rPr>
          <w:i/>
          <w:iCs/>
          <w:lang w:val="it-IT"/>
        </w:rPr>
        <w:t>Precauzioni e operazioni preliminari</w:t>
      </w:r>
    </w:p>
    <w:p w:rsidR="000E41CC" w:rsidRDefault="000E41CC" w:rsidP="000E41CC">
      <w:pPr>
        <w:spacing w:line="240" w:lineRule="auto"/>
        <w:rPr>
          <w:lang w:val="it-IT"/>
        </w:rPr>
      </w:pPr>
      <w:r w:rsidRPr="000E41CC">
        <w:rPr>
          <w:lang w:val="it-IT"/>
        </w:rPr>
        <w:t>Indossare gli occhiali di sicurezza. Effettuare i saggi sotto cappa aspirante</w:t>
      </w:r>
      <w:r w:rsidR="00B86423">
        <w:rPr>
          <w:lang w:val="it-IT"/>
        </w:rPr>
        <w:t>.</w:t>
      </w:r>
    </w:p>
    <w:p w:rsidR="00B86423" w:rsidRDefault="00B86423" w:rsidP="000E41CC">
      <w:pPr>
        <w:spacing w:line="240" w:lineRule="auto"/>
        <w:rPr>
          <w:lang w:val="it-IT"/>
        </w:rPr>
      </w:pPr>
    </w:p>
    <w:p w:rsidR="00B86423" w:rsidRPr="00B86423" w:rsidRDefault="00B83B9A" w:rsidP="00B86423">
      <w:pPr>
        <w:spacing w:line="240" w:lineRule="auto"/>
        <w:rPr>
          <w:i/>
          <w:iCs/>
          <w:lang w:val="it-IT"/>
        </w:rPr>
      </w:pPr>
      <w:r>
        <w:rPr>
          <w:i/>
          <w:iCs/>
          <w:lang w:val="it-IT"/>
        </w:rPr>
        <w:t>Saggi</w:t>
      </w:r>
      <w:r w:rsidR="00B86423" w:rsidRPr="00B86423">
        <w:rPr>
          <w:i/>
          <w:iCs/>
          <w:lang w:val="it-IT"/>
        </w:rPr>
        <w:t xml:space="preserve"> al tubicino</w:t>
      </w:r>
    </w:p>
    <w:p w:rsidR="00B86423" w:rsidRPr="00B86423" w:rsidRDefault="00B86423" w:rsidP="00B86423">
      <w:pPr>
        <w:spacing w:line="240" w:lineRule="auto"/>
        <w:rPr>
          <w:lang w:val="it-IT"/>
        </w:rPr>
      </w:pPr>
      <w:r w:rsidRPr="00B86423">
        <w:rPr>
          <w:lang w:val="it-IT"/>
        </w:rPr>
        <w:t>Introdurre una piccola quantità della sostanza in esame nel fondo di un tubicino pulito e ben</w:t>
      </w:r>
    </w:p>
    <w:p w:rsidR="00B86423" w:rsidRPr="00B86423" w:rsidRDefault="00B86423" w:rsidP="00B86423">
      <w:pPr>
        <w:spacing w:line="240" w:lineRule="auto"/>
        <w:rPr>
          <w:lang w:val="it-IT"/>
        </w:rPr>
      </w:pPr>
      <w:r w:rsidRPr="00B86423">
        <w:rPr>
          <w:lang w:val="it-IT"/>
        </w:rPr>
        <w:t>asciutto, evitando che qualche particella resti aderente alle pareti.</w:t>
      </w:r>
      <w:r w:rsidR="00D656D1">
        <w:rPr>
          <w:lang w:val="it-IT"/>
        </w:rPr>
        <w:t xml:space="preserve"> Si aggiunge una goccia di acido solforico concentrato per i campioni contenenti ioduri, bromuri e nitrati.</w:t>
      </w:r>
    </w:p>
    <w:p w:rsidR="00B86423" w:rsidRPr="00B86423" w:rsidRDefault="00B86423" w:rsidP="00B86423">
      <w:pPr>
        <w:spacing w:line="240" w:lineRule="auto"/>
        <w:rPr>
          <w:lang w:val="it-IT"/>
        </w:rPr>
      </w:pPr>
      <w:r w:rsidRPr="00B86423">
        <w:rPr>
          <w:lang w:val="it-IT"/>
        </w:rPr>
        <w:t>Portare gradualmente al calor rosso il fondo del tubicino, tenendolo mediante l’uso delle pinze di</w:t>
      </w:r>
      <w:r>
        <w:rPr>
          <w:lang w:val="it-IT"/>
        </w:rPr>
        <w:t xml:space="preserve"> </w:t>
      </w:r>
      <w:r w:rsidRPr="00B86423">
        <w:rPr>
          <w:lang w:val="it-IT"/>
        </w:rPr>
        <w:t>legno obliquament</w:t>
      </w:r>
      <w:r>
        <w:rPr>
          <w:lang w:val="it-IT"/>
        </w:rPr>
        <w:t>e sulla fiamma del becco Bunsen e rivolto verso la parete della cappa.</w:t>
      </w:r>
    </w:p>
    <w:p w:rsidR="00B86423" w:rsidRPr="00B86423" w:rsidRDefault="00B86423" w:rsidP="00B86423">
      <w:pPr>
        <w:spacing w:line="240" w:lineRule="auto"/>
        <w:rPr>
          <w:lang w:val="it-IT"/>
        </w:rPr>
      </w:pPr>
      <w:r w:rsidRPr="00B86423">
        <w:rPr>
          <w:lang w:val="it-IT"/>
        </w:rPr>
        <w:lastRenderedPageBreak/>
        <w:t>Fare attenzione a scaldare soltanto il fondo del tubicino, in modo che i vapori eventualmente</w:t>
      </w:r>
    </w:p>
    <w:p w:rsidR="00B86423" w:rsidRPr="00B86423" w:rsidRDefault="00B86423" w:rsidP="00B86423">
      <w:pPr>
        <w:spacing w:line="240" w:lineRule="auto"/>
        <w:rPr>
          <w:lang w:val="it-IT"/>
        </w:rPr>
      </w:pPr>
      <w:r w:rsidRPr="00B86423">
        <w:rPr>
          <w:lang w:val="it-IT"/>
        </w:rPr>
        <w:t>sviluppati possano condensare sulle pareti fredde.</w:t>
      </w:r>
    </w:p>
    <w:p w:rsidR="00B86423" w:rsidRDefault="00B86423" w:rsidP="003B097B">
      <w:pPr>
        <w:spacing w:line="240" w:lineRule="auto"/>
        <w:rPr>
          <w:lang w:val="it-IT"/>
        </w:rPr>
      </w:pPr>
      <w:r w:rsidRPr="00B86423">
        <w:rPr>
          <w:lang w:val="it-IT"/>
        </w:rPr>
        <w:t>Es</w:t>
      </w:r>
      <w:r>
        <w:rPr>
          <w:lang w:val="it-IT"/>
        </w:rPr>
        <w:t>eguire i saggi relativi a:</w:t>
      </w:r>
      <w:r w:rsidR="000820AF" w:rsidRPr="000820AF">
        <w:rPr>
          <w:lang w:val="it-IT"/>
        </w:rPr>
        <w:t xml:space="preserve"> ZnO, Cr</w:t>
      </w:r>
      <w:r w:rsidR="000820AF" w:rsidRPr="000820AF">
        <w:rPr>
          <w:vertAlign w:val="subscript"/>
          <w:lang w:val="it-IT"/>
        </w:rPr>
        <w:t>2</w:t>
      </w:r>
      <w:r w:rsidR="000820AF" w:rsidRPr="000820AF">
        <w:rPr>
          <w:lang w:val="it-IT"/>
        </w:rPr>
        <w:t>O</w:t>
      </w:r>
      <w:r w:rsidR="000820AF" w:rsidRPr="000820AF">
        <w:rPr>
          <w:vertAlign w:val="subscript"/>
          <w:lang w:val="it-IT"/>
        </w:rPr>
        <w:t>3</w:t>
      </w:r>
      <w:r w:rsidR="000820AF" w:rsidRPr="000820AF">
        <w:rPr>
          <w:lang w:val="it-IT"/>
        </w:rPr>
        <w:t>,</w:t>
      </w:r>
      <w:r w:rsidR="007727AC" w:rsidRPr="007727AC">
        <w:rPr>
          <w:lang w:val="it-IT"/>
        </w:rPr>
        <w:t xml:space="preserve"> NH</w:t>
      </w:r>
      <w:r w:rsidR="007727AC" w:rsidRPr="007727AC">
        <w:rPr>
          <w:vertAlign w:val="subscript"/>
          <w:lang w:val="it-IT"/>
        </w:rPr>
        <w:t>4</w:t>
      </w:r>
      <w:r w:rsidR="007727AC" w:rsidRPr="007727AC">
        <w:rPr>
          <w:lang w:val="it-IT"/>
        </w:rPr>
        <w:t>Cl, Hg</w:t>
      </w:r>
      <w:r w:rsidR="007727AC" w:rsidRPr="007727AC">
        <w:rPr>
          <w:vertAlign w:val="subscript"/>
          <w:lang w:val="it-IT"/>
        </w:rPr>
        <w:t>2</w:t>
      </w:r>
      <w:r w:rsidR="007727AC" w:rsidRPr="007727AC">
        <w:rPr>
          <w:lang w:val="it-IT"/>
        </w:rPr>
        <w:t>Cl</w:t>
      </w:r>
      <w:r w:rsidR="007727AC" w:rsidRPr="007727AC">
        <w:rPr>
          <w:vertAlign w:val="subscript"/>
          <w:lang w:val="it-IT"/>
        </w:rPr>
        <w:t>2</w:t>
      </w:r>
      <w:r w:rsidR="007727AC" w:rsidRPr="007727AC">
        <w:rPr>
          <w:lang w:val="it-IT"/>
        </w:rPr>
        <w:t>, HgCl</w:t>
      </w:r>
      <w:r w:rsidR="007727AC" w:rsidRPr="007727AC">
        <w:rPr>
          <w:vertAlign w:val="subscript"/>
          <w:lang w:val="it-IT"/>
        </w:rPr>
        <w:t>2</w:t>
      </w:r>
      <w:r w:rsidR="007727AC" w:rsidRPr="007727AC">
        <w:rPr>
          <w:lang w:val="it-IT"/>
        </w:rPr>
        <w:t>, HgI</w:t>
      </w:r>
      <w:r w:rsidR="007727AC" w:rsidRPr="007727AC">
        <w:rPr>
          <w:vertAlign w:val="subscript"/>
          <w:lang w:val="it-IT"/>
        </w:rPr>
        <w:t>2</w:t>
      </w:r>
      <w:r w:rsidR="007727AC">
        <w:rPr>
          <w:lang w:val="it-IT"/>
        </w:rPr>
        <w:t xml:space="preserve">, KI, </w:t>
      </w:r>
      <w:proofErr w:type="spellStart"/>
      <w:r w:rsidR="007727AC">
        <w:rPr>
          <w:lang w:val="it-IT"/>
        </w:rPr>
        <w:t>KBr</w:t>
      </w:r>
      <w:proofErr w:type="spellEnd"/>
      <w:r w:rsidR="007727AC">
        <w:rPr>
          <w:lang w:val="it-IT"/>
        </w:rPr>
        <w:t xml:space="preserve">, </w:t>
      </w:r>
      <w:r w:rsidR="00D30FD6">
        <w:rPr>
          <w:lang w:val="it-IT"/>
        </w:rPr>
        <w:t>Pb(</w:t>
      </w:r>
      <w:r w:rsidR="007727AC">
        <w:rPr>
          <w:lang w:val="it-IT"/>
        </w:rPr>
        <w:t>NO</w:t>
      </w:r>
      <w:r w:rsidR="007727AC" w:rsidRPr="007727AC">
        <w:rPr>
          <w:vertAlign w:val="subscript"/>
          <w:lang w:val="it-IT"/>
        </w:rPr>
        <w:t>3</w:t>
      </w:r>
      <w:r w:rsidR="00D30FD6">
        <w:rPr>
          <w:lang w:val="it-IT"/>
        </w:rPr>
        <w:t>)</w:t>
      </w:r>
      <w:r w:rsidR="00D30FD6" w:rsidRPr="00D30FD6">
        <w:rPr>
          <w:vertAlign w:val="subscript"/>
          <w:lang w:val="it-IT"/>
        </w:rPr>
        <w:t>2</w:t>
      </w:r>
      <w:r w:rsidR="007727AC">
        <w:rPr>
          <w:lang w:val="it-IT"/>
        </w:rPr>
        <w:t>.</w:t>
      </w:r>
    </w:p>
    <w:p w:rsidR="007727AC" w:rsidRDefault="007727AC" w:rsidP="003B097B">
      <w:pPr>
        <w:spacing w:line="240" w:lineRule="auto"/>
        <w:rPr>
          <w:lang w:val="it-IT"/>
        </w:rPr>
      </w:pPr>
    </w:p>
    <w:p w:rsidR="007727AC" w:rsidRPr="007727AC" w:rsidRDefault="007727AC" w:rsidP="003B097B">
      <w:pPr>
        <w:spacing w:line="240" w:lineRule="auto"/>
        <w:rPr>
          <w:lang w:val="it-IT"/>
        </w:rPr>
      </w:pPr>
    </w:p>
    <w:p w:rsidR="00D769B2" w:rsidRDefault="00D769B2" w:rsidP="003B097B">
      <w:pPr>
        <w:spacing w:line="240" w:lineRule="auto"/>
        <w:rPr>
          <w:lang w:val="it-IT"/>
        </w:rPr>
      </w:pPr>
    </w:p>
    <w:tbl>
      <w:tblPr>
        <w:tblStyle w:val="Grigliatabella"/>
        <w:tblW w:w="0" w:type="auto"/>
        <w:tblInd w:w="1497" w:type="dxa"/>
        <w:tblLook w:val="04A0" w:firstRow="1" w:lastRow="0" w:firstColumn="1" w:lastColumn="0" w:noHBand="0" w:noVBand="1"/>
      </w:tblPr>
      <w:tblGrid>
        <w:gridCol w:w="1482"/>
        <w:gridCol w:w="2465"/>
        <w:gridCol w:w="2144"/>
      </w:tblGrid>
      <w:tr w:rsidR="001C0F76" w:rsidRPr="00B86423" w:rsidTr="00B83B9A">
        <w:tc>
          <w:tcPr>
            <w:tcW w:w="1482" w:type="dxa"/>
            <w:vAlign w:val="center"/>
          </w:tcPr>
          <w:p w:rsidR="001C0F76" w:rsidRDefault="001C0F76" w:rsidP="00D769B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Campioni</w:t>
            </w:r>
            <w:proofErr w:type="spellEnd"/>
          </w:p>
          <w:p w:rsidR="007727AC" w:rsidRPr="007727AC" w:rsidRDefault="007727AC" w:rsidP="00D769B2">
            <w:pPr>
              <w:jc w:val="center"/>
              <w:rPr>
                <w:b/>
                <w:bCs/>
                <w:sz w:val="20"/>
                <w:szCs w:val="20"/>
              </w:rPr>
            </w:pPr>
            <w:r w:rsidRPr="007727AC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7727AC">
              <w:rPr>
                <w:b/>
                <w:bCs/>
                <w:sz w:val="20"/>
                <w:szCs w:val="20"/>
              </w:rPr>
              <w:t>ossidi</w:t>
            </w:r>
            <w:proofErr w:type="spellEnd"/>
            <w:r w:rsidRPr="007727A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727AC">
              <w:rPr>
                <w:b/>
                <w:bCs/>
                <w:sz w:val="20"/>
                <w:szCs w:val="20"/>
              </w:rPr>
              <w:t>termocromici</w:t>
            </w:r>
            <w:proofErr w:type="spellEnd"/>
            <w:r w:rsidRPr="007727A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65" w:type="dxa"/>
            <w:vAlign w:val="center"/>
          </w:tcPr>
          <w:p w:rsidR="001C0F76" w:rsidRPr="00B86423" w:rsidRDefault="001C0F76" w:rsidP="002F13D0">
            <w:pPr>
              <w:jc w:val="center"/>
              <w:rPr>
                <w:b/>
                <w:lang w:val="it-IT"/>
              </w:rPr>
            </w:pPr>
            <w:r w:rsidRPr="00B86423">
              <w:rPr>
                <w:b/>
                <w:lang w:val="it-IT"/>
              </w:rPr>
              <w:t xml:space="preserve">Colore </w:t>
            </w:r>
            <w:r>
              <w:rPr>
                <w:b/>
                <w:lang w:val="it-IT"/>
              </w:rPr>
              <w:t>a temperatura ambiente</w:t>
            </w:r>
          </w:p>
        </w:tc>
        <w:tc>
          <w:tcPr>
            <w:tcW w:w="2144" w:type="dxa"/>
            <w:vAlign w:val="center"/>
          </w:tcPr>
          <w:p w:rsidR="001C0F76" w:rsidRPr="00B86423" w:rsidRDefault="001C0F76" w:rsidP="001C0F76">
            <w:pPr>
              <w:jc w:val="center"/>
              <w:rPr>
                <w:lang w:val="it-IT"/>
              </w:rPr>
            </w:pPr>
            <w:r w:rsidRPr="001C0F76">
              <w:rPr>
                <w:b/>
                <w:lang w:val="it-IT"/>
              </w:rPr>
              <w:t xml:space="preserve">Colore </w:t>
            </w:r>
            <w:r>
              <w:rPr>
                <w:b/>
                <w:lang w:val="it-IT"/>
              </w:rPr>
              <w:t>ad alta temperatura</w:t>
            </w:r>
          </w:p>
        </w:tc>
      </w:tr>
      <w:tr w:rsidR="00B86423" w:rsidRPr="00B86423" w:rsidTr="00B83B9A">
        <w:tc>
          <w:tcPr>
            <w:tcW w:w="1482" w:type="dxa"/>
            <w:vAlign w:val="center"/>
          </w:tcPr>
          <w:p w:rsidR="00B86423" w:rsidRPr="00B86423" w:rsidRDefault="000820AF" w:rsidP="00B86423">
            <w:pPr>
              <w:jc w:val="center"/>
              <w:rPr>
                <w:lang w:val="it-IT"/>
              </w:rPr>
            </w:pPr>
            <w:r w:rsidRPr="000820AF">
              <w:rPr>
                <w:lang w:val="it-IT"/>
              </w:rPr>
              <w:t>ZnO</w:t>
            </w:r>
          </w:p>
        </w:tc>
        <w:tc>
          <w:tcPr>
            <w:tcW w:w="2465" w:type="dxa"/>
            <w:vAlign w:val="center"/>
          </w:tcPr>
          <w:p w:rsidR="00B86423" w:rsidRPr="00B86423" w:rsidRDefault="000820AF" w:rsidP="00B8642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bianco</w:t>
            </w:r>
          </w:p>
        </w:tc>
        <w:tc>
          <w:tcPr>
            <w:tcW w:w="2144" w:type="dxa"/>
            <w:vAlign w:val="center"/>
          </w:tcPr>
          <w:p w:rsidR="00B86423" w:rsidRPr="00B86423" w:rsidRDefault="003B097B" w:rsidP="00B8642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g</w:t>
            </w:r>
            <w:r w:rsidR="000820AF">
              <w:rPr>
                <w:lang w:val="it-IT"/>
              </w:rPr>
              <w:t>iallo intenso</w:t>
            </w:r>
          </w:p>
        </w:tc>
      </w:tr>
      <w:tr w:rsidR="00B86423" w:rsidRPr="00B86423" w:rsidTr="00B83B9A">
        <w:tc>
          <w:tcPr>
            <w:tcW w:w="1482" w:type="dxa"/>
            <w:vAlign w:val="center"/>
          </w:tcPr>
          <w:p w:rsidR="00B86423" w:rsidRPr="00B86423" w:rsidRDefault="000820AF" w:rsidP="00B86423">
            <w:pPr>
              <w:jc w:val="center"/>
              <w:rPr>
                <w:lang w:val="it-IT"/>
              </w:rPr>
            </w:pPr>
            <w:r w:rsidRPr="000820AF">
              <w:rPr>
                <w:lang w:val="it-IT"/>
              </w:rPr>
              <w:t>Cr</w:t>
            </w:r>
            <w:r w:rsidRPr="000820AF">
              <w:rPr>
                <w:vertAlign w:val="subscript"/>
                <w:lang w:val="it-IT"/>
              </w:rPr>
              <w:t>2</w:t>
            </w:r>
            <w:r w:rsidRPr="000820AF">
              <w:rPr>
                <w:lang w:val="it-IT"/>
              </w:rPr>
              <w:t>O</w:t>
            </w:r>
            <w:r w:rsidRPr="000820AF">
              <w:rPr>
                <w:vertAlign w:val="subscript"/>
                <w:lang w:val="it-IT"/>
              </w:rPr>
              <w:t>3</w:t>
            </w:r>
          </w:p>
        </w:tc>
        <w:tc>
          <w:tcPr>
            <w:tcW w:w="2465" w:type="dxa"/>
            <w:vAlign w:val="center"/>
          </w:tcPr>
          <w:p w:rsidR="00B86423" w:rsidRPr="00B86423" w:rsidRDefault="00A66D92" w:rsidP="00B8642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="000820AF">
              <w:rPr>
                <w:lang w:val="it-IT"/>
              </w:rPr>
              <w:t>erde bottiglia</w:t>
            </w:r>
          </w:p>
        </w:tc>
        <w:tc>
          <w:tcPr>
            <w:tcW w:w="2144" w:type="dxa"/>
            <w:vAlign w:val="center"/>
          </w:tcPr>
          <w:p w:rsidR="00B86423" w:rsidRPr="00B86423" w:rsidRDefault="000820AF" w:rsidP="00B8642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grigio</w:t>
            </w:r>
          </w:p>
        </w:tc>
      </w:tr>
    </w:tbl>
    <w:p w:rsidR="00B86423" w:rsidRDefault="00B86423" w:rsidP="003B097B">
      <w:pPr>
        <w:spacing w:line="240" w:lineRule="auto"/>
        <w:rPr>
          <w:lang w:val="it-IT"/>
        </w:rPr>
      </w:pPr>
    </w:p>
    <w:p w:rsidR="007727AC" w:rsidRDefault="007727AC" w:rsidP="003B097B">
      <w:pPr>
        <w:spacing w:line="240" w:lineRule="auto"/>
        <w:rPr>
          <w:lang w:val="it-IT"/>
        </w:rPr>
      </w:pPr>
    </w:p>
    <w:p w:rsidR="007727AC" w:rsidRDefault="007727AC" w:rsidP="00B83B9A">
      <w:pPr>
        <w:spacing w:line="240" w:lineRule="auto"/>
        <w:jc w:val="center"/>
        <w:rPr>
          <w:lang w:val="it-IT"/>
        </w:rPr>
      </w:pPr>
    </w:p>
    <w:tbl>
      <w:tblPr>
        <w:tblStyle w:val="Grigliatabella"/>
        <w:tblW w:w="0" w:type="auto"/>
        <w:tblInd w:w="999" w:type="dxa"/>
        <w:tblLook w:val="04A0" w:firstRow="1" w:lastRow="0" w:firstColumn="1" w:lastColumn="0" w:noHBand="0" w:noVBand="1"/>
      </w:tblPr>
      <w:tblGrid>
        <w:gridCol w:w="1770"/>
        <w:gridCol w:w="2465"/>
        <w:gridCol w:w="2852"/>
      </w:tblGrid>
      <w:tr w:rsidR="00D769B2" w:rsidRPr="00D769B2" w:rsidTr="00B83B9A">
        <w:tc>
          <w:tcPr>
            <w:tcW w:w="1770" w:type="dxa"/>
            <w:vAlign w:val="center"/>
          </w:tcPr>
          <w:p w:rsidR="00D769B2" w:rsidRDefault="00D769B2" w:rsidP="00D769B2">
            <w:pPr>
              <w:jc w:val="center"/>
              <w:rPr>
                <w:b/>
                <w:bCs/>
              </w:rPr>
            </w:pPr>
            <w:proofErr w:type="spellStart"/>
            <w:r w:rsidRPr="00D769B2">
              <w:rPr>
                <w:b/>
                <w:bCs/>
              </w:rPr>
              <w:t>Campioni</w:t>
            </w:r>
            <w:proofErr w:type="spellEnd"/>
          </w:p>
          <w:p w:rsidR="007727AC" w:rsidRPr="007727AC" w:rsidRDefault="007727AC" w:rsidP="00D769B2">
            <w:pPr>
              <w:jc w:val="center"/>
              <w:rPr>
                <w:b/>
                <w:bCs/>
                <w:sz w:val="20"/>
                <w:szCs w:val="20"/>
              </w:rPr>
            </w:pPr>
            <w:r w:rsidRPr="007727AC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7727AC">
              <w:rPr>
                <w:b/>
                <w:bCs/>
                <w:sz w:val="20"/>
                <w:szCs w:val="20"/>
              </w:rPr>
              <w:t>sviluppo</w:t>
            </w:r>
            <w:proofErr w:type="spellEnd"/>
            <w:r w:rsidRPr="007727AC">
              <w:rPr>
                <w:b/>
                <w:bCs/>
                <w:sz w:val="20"/>
                <w:szCs w:val="20"/>
              </w:rPr>
              <w:t xml:space="preserve"> di </w:t>
            </w:r>
            <w:proofErr w:type="spellStart"/>
            <w:r w:rsidRPr="007727AC">
              <w:rPr>
                <w:b/>
                <w:bCs/>
                <w:sz w:val="20"/>
                <w:szCs w:val="20"/>
              </w:rPr>
              <w:t>sublimati</w:t>
            </w:r>
            <w:proofErr w:type="spellEnd"/>
            <w:r w:rsidRPr="007727A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65" w:type="dxa"/>
            <w:vAlign w:val="center"/>
          </w:tcPr>
          <w:p w:rsidR="00D769B2" w:rsidRPr="00D769B2" w:rsidRDefault="00D769B2" w:rsidP="0056791C">
            <w:pPr>
              <w:jc w:val="center"/>
              <w:rPr>
                <w:lang w:val="it-IT"/>
              </w:rPr>
            </w:pPr>
            <w:r w:rsidRPr="00D769B2">
              <w:rPr>
                <w:b/>
                <w:lang w:val="it-IT"/>
              </w:rPr>
              <w:t>Colore del sublimato</w:t>
            </w:r>
          </w:p>
        </w:tc>
        <w:tc>
          <w:tcPr>
            <w:tcW w:w="2852" w:type="dxa"/>
            <w:vAlign w:val="center"/>
          </w:tcPr>
          <w:p w:rsidR="00D769B2" w:rsidRPr="00D769B2" w:rsidRDefault="00D769B2" w:rsidP="00D769B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Proprietà</w:t>
            </w:r>
          </w:p>
        </w:tc>
      </w:tr>
      <w:tr w:rsidR="00D769B2" w:rsidRPr="00D769B2" w:rsidTr="00B83B9A">
        <w:tc>
          <w:tcPr>
            <w:tcW w:w="1770" w:type="dxa"/>
            <w:vAlign w:val="center"/>
          </w:tcPr>
          <w:p w:rsidR="00D769B2" w:rsidRPr="00D769B2" w:rsidRDefault="00D769B2" w:rsidP="00D769B2">
            <w:pPr>
              <w:jc w:val="center"/>
              <w:rPr>
                <w:lang w:val="it-IT"/>
              </w:rPr>
            </w:pPr>
            <w:r w:rsidRPr="00D769B2">
              <w:rPr>
                <w:lang w:val="it-IT"/>
              </w:rPr>
              <w:t>NH</w:t>
            </w:r>
            <w:r w:rsidRPr="00D769B2">
              <w:rPr>
                <w:vertAlign w:val="subscript"/>
                <w:lang w:val="it-IT"/>
              </w:rPr>
              <w:t>4</w:t>
            </w:r>
            <w:r w:rsidRPr="00D769B2">
              <w:rPr>
                <w:lang w:val="it-IT"/>
              </w:rPr>
              <w:t>Cl</w:t>
            </w:r>
          </w:p>
        </w:tc>
        <w:tc>
          <w:tcPr>
            <w:tcW w:w="2465" w:type="dxa"/>
            <w:vAlign w:val="center"/>
          </w:tcPr>
          <w:p w:rsidR="00D769B2" w:rsidRPr="00D769B2" w:rsidRDefault="00D769B2" w:rsidP="0056791C">
            <w:pPr>
              <w:jc w:val="center"/>
              <w:rPr>
                <w:lang w:val="it-IT"/>
              </w:rPr>
            </w:pPr>
            <w:r w:rsidRPr="00D769B2">
              <w:rPr>
                <w:lang w:val="it-IT"/>
              </w:rPr>
              <w:t>bianco</w:t>
            </w:r>
          </w:p>
        </w:tc>
        <w:tc>
          <w:tcPr>
            <w:tcW w:w="2852" w:type="dxa"/>
            <w:vAlign w:val="center"/>
          </w:tcPr>
          <w:p w:rsidR="00D769B2" w:rsidRPr="00D769B2" w:rsidRDefault="007727AC" w:rsidP="00D769B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Solubile in H</w:t>
            </w:r>
            <w:r w:rsidRPr="007727AC">
              <w:rPr>
                <w:vertAlign w:val="subscript"/>
                <w:lang w:val="it-IT"/>
              </w:rPr>
              <w:t>2</w:t>
            </w:r>
            <w:r>
              <w:rPr>
                <w:lang w:val="it-IT"/>
              </w:rPr>
              <w:t>O fredda</w:t>
            </w:r>
          </w:p>
        </w:tc>
      </w:tr>
      <w:tr w:rsidR="00D769B2" w:rsidRPr="00A66D92" w:rsidTr="00B83B9A">
        <w:tc>
          <w:tcPr>
            <w:tcW w:w="1770" w:type="dxa"/>
            <w:vAlign w:val="center"/>
          </w:tcPr>
          <w:p w:rsidR="00D769B2" w:rsidRPr="00D769B2" w:rsidRDefault="00D769B2" w:rsidP="00D769B2">
            <w:pPr>
              <w:jc w:val="center"/>
              <w:rPr>
                <w:lang w:val="it-IT"/>
              </w:rPr>
            </w:pPr>
            <w:r w:rsidRPr="00D769B2">
              <w:rPr>
                <w:lang w:val="it-IT"/>
              </w:rPr>
              <w:t>Hg</w:t>
            </w:r>
            <w:r w:rsidRPr="00D769B2">
              <w:rPr>
                <w:vertAlign w:val="subscript"/>
                <w:lang w:val="it-IT"/>
              </w:rPr>
              <w:t>2</w:t>
            </w:r>
            <w:r w:rsidRPr="00D769B2">
              <w:rPr>
                <w:lang w:val="it-IT"/>
              </w:rPr>
              <w:t>Cl</w:t>
            </w:r>
            <w:r w:rsidRPr="00D769B2">
              <w:rPr>
                <w:vertAlign w:val="subscript"/>
                <w:lang w:val="it-IT"/>
              </w:rPr>
              <w:t>2</w:t>
            </w:r>
          </w:p>
        </w:tc>
        <w:tc>
          <w:tcPr>
            <w:tcW w:w="2465" w:type="dxa"/>
            <w:vAlign w:val="center"/>
          </w:tcPr>
          <w:p w:rsidR="00D769B2" w:rsidRPr="00D769B2" w:rsidRDefault="00D769B2" w:rsidP="0056791C">
            <w:pPr>
              <w:jc w:val="center"/>
              <w:rPr>
                <w:lang w:val="it-IT"/>
              </w:rPr>
            </w:pPr>
            <w:r w:rsidRPr="00D769B2">
              <w:rPr>
                <w:lang w:val="it-IT"/>
              </w:rPr>
              <w:t>bianco</w:t>
            </w:r>
          </w:p>
        </w:tc>
        <w:tc>
          <w:tcPr>
            <w:tcW w:w="2852" w:type="dxa"/>
            <w:vAlign w:val="center"/>
          </w:tcPr>
          <w:p w:rsidR="00D769B2" w:rsidRDefault="007727AC" w:rsidP="00D769B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Insolubile in </w:t>
            </w:r>
            <w:r w:rsidRPr="007727AC">
              <w:rPr>
                <w:lang w:val="it-IT"/>
              </w:rPr>
              <w:t>H</w:t>
            </w:r>
            <w:r w:rsidRPr="007727AC">
              <w:rPr>
                <w:vertAlign w:val="subscript"/>
                <w:lang w:val="it-IT"/>
              </w:rPr>
              <w:t>2</w:t>
            </w:r>
            <w:r w:rsidRPr="007727AC">
              <w:rPr>
                <w:lang w:val="it-IT"/>
              </w:rPr>
              <w:t>O fredda</w:t>
            </w:r>
          </w:p>
          <w:p w:rsidR="007727AC" w:rsidRDefault="007727AC" w:rsidP="00D769B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Diventa nero con NH</w:t>
            </w:r>
            <w:r w:rsidRPr="007727AC">
              <w:rPr>
                <w:vertAlign w:val="subscript"/>
                <w:lang w:val="it-IT"/>
              </w:rPr>
              <w:t>3</w:t>
            </w:r>
          </w:p>
          <w:p w:rsidR="007727AC" w:rsidRPr="007727AC" w:rsidRDefault="007727AC" w:rsidP="00D769B2">
            <w:pPr>
              <w:jc w:val="center"/>
              <w:rPr>
                <w:lang w:val="it-IT"/>
              </w:rPr>
            </w:pPr>
            <w:r w:rsidRPr="007727AC">
              <w:rPr>
                <w:lang w:val="it-IT"/>
              </w:rPr>
              <w:t>Diventa nero con</w:t>
            </w:r>
            <w:r>
              <w:rPr>
                <w:lang w:val="it-IT"/>
              </w:rPr>
              <w:t xml:space="preserve"> NaOH</w:t>
            </w:r>
          </w:p>
        </w:tc>
      </w:tr>
      <w:tr w:rsidR="00D769B2" w:rsidRPr="00D769B2" w:rsidTr="00B83B9A">
        <w:tc>
          <w:tcPr>
            <w:tcW w:w="1770" w:type="dxa"/>
            <w:vAlign w:val="center"/>
          </w:tcPr>
          <w:p w:rsidR="00D769B2" w:rsidRPr="00D769B2" w:rsidRDefault="00D769B2" w:rsidP="00D769B2">
            <w:pPr>
              <w:jc w:val="center"/>
              <w:rPr>
                <w:lang w:val="it-IT"/>
              </w:rPr>
            </w:pPr>
            <w:r w:rsidRPr="00D769B2">
              <w:rPr>
                <w:lang w:val="it-IT"/>
              </w:rPr>
              <w:t>HgCl</w:t>
            </w:r>
            <w:r w:rsidRPr="00D769B2">
              <w:rPr>
                <w:vertAlign w:val="subscript"/>
                <w:lang w:val="it-IT"/>
              </w:rPr>
              <w:t>2</w:t>
            </w:r>
          </w:p>
        </w:tc>
        <w:tc>
          <w:tcPr>
            <w:tcW w:w="2465" w:type="dxa"/>
            <w:vAlign w:val="center"/>
          </w:tcPr>
          <w:p w:rsidR="00D769B2" w:rsidRPr="00D769B2" w:rsidRDefault="00D769B2" w:rsidP="0056791C">
            <w:pPr>
              <w:jc w:val="center"/>
              <w:rPr>
                <w:lang w:val="it-IT"/>
              </w:rPr>
            </w:pPr>
            <w:r w:rsidRPr="00D769B2">
              <w:rPr>
                <w:lang w:val="it-IT"/>
              </w:rPr>
              <w:t>bianco</w:t>
            </w:r>
          </w:p>
        </w:tc>
        <w:tc>
          <w:tcPr>
            <w:tcW w:w="2852" w:type="dxa"/>
            <w:vAlign w:val="center"/>
          </w:tcPr>
          <w:p w:rsidR="007727AC" w:rsidRPr="007727AC" w:rsidRDefault="007727AC" w:rsidP="007727AC">
            <w:pPr>
              <w:jc w:val="center"/>
              <w:rPr>
                <w:lang w:val="it-IT"/>
              </w:rPr>
            </w:pPr>
            <w:r w:rsidRPr="007727AC">
              <w:rPr>
                <w:lang w:val="it-IT"/>
              </w:rPr>
              <w:t>Insolubile in H</w:t>
            </w:r>
            <w:r w:rsidRPr="007727AC">
              <w:rPr>
                <w:vertAlign w:val="subscript"/>
                <w:lang w:val="it-IT"/>
              </w:rPr>
              <w:t>2</w:t>
            </w:r>
            <w:r w:rsidRPr="007727AC">
              <w:rPr>
                <w:lang w:val="it-IT"/>
              </w:rPr>
              <w:t>O fredda</w:t>
            </w:r>
          </w:p>
          <w:p w:rsidR="00D769B2" w:rsidRDefault="007727AC" w:rsidP="00D769B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Non si colora con </w:t>
            </w:r>
            <w:r w:rsidRPr="007727AC">
              <w:rPr>
                <w:lang w:val="it-IT"/>
              </w:rPr>
              <w:t>NH</w:t>
            </w:r>
            <w:r w:rsidRPr="007727AC">
              <w:rPr>
                <w:vertAlign w:val="subscript"/>
                <w:lang w:val="it-IT"/>
              </w:rPr>
              <w:t>3</w:t>
            </w:r>
          </w:p>
          <w:p w:rsidR="007727AC" w:rsidRPr="007727AC" w:rsidRDefault="00D656D1" w:rsidP="00D769B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Diventa giallo con NaOH</w:t>
            </w:r>
          </w:p>
        </w:tc>
      </w:tr>
      <w:tr w:rsidR="00D769B2" w:rsidRPr="00D769B2" w:rsidTr="00B83B9A">
        <w:tc>
          <w:tcPr>
            <w:tcW w:w="1770" w:type="dxa"/>
            <w:vAlign w:val="center"/>
          </w:tcPr>
          <w:p w:rsidR="00D769B2" w:rsidRPr="00D769B2" w:rsidRDefault="00D769B2" w:rsidP="00D769B2">
            <w:pPr>
              <w:jc w:val="center"/>
              <w:rPr>
                <w:lang w:val="it-IT"/>
              </w:rPr>
            </w:pPr>
            <w:r w:rsidRPr="00D769B2">
              <w:rPr>
                <w:lang w:val="it-IT"/>
              </w:rPr>
              <w:t>HgI</w:t>
            </w:r>
            <w:r w:rsidRPr="00D769B2">
              <w:rPr>
                <w:vertAlign w:val="subscript"/>
                <w:lang w:val="it-IT"/>
              </w:rPr>
              <w:t>2</w:t>
            </w:r>
          </w:p>
        </w:tc>
        <w:tc>
          <w:tcPr>
            <w:tcW w:w="2465" w:type="dxa"/>
            <w:vAlign w:val="center"/>
          </w:tcPr>
          <w:p w:rsidR="00D769B2" w:rsidRPr="00D769B2" w:rsidRDefault="00D769B2" w:rsidP="0056791C">
            <w:pPr>
              <w:jc w:val="center"/>
              <w:rPr>
                <w:lang w:val="it-IT"/>
              </w:rPr>
            </w:pPr>
            <w:r w:rsidRPr="00D769B2">
              <w:rPr>
                <w:lang w:val="it-IT"/>
              </w:rPr>
              <w:t>giallo</w:t>
            </w:r>
          </w:p>
        </w:tc>
        <w:tc>
          <w:tcPr>
            <w:tcW w:w="2852" w:type="dxa"/>
            <w:vAlign w:val="center"/>
          </w:tcPr>
          <w:p w:rsidR="00D769B2" w:rsidRPr="00D769B2" w:rsidRDefault="00D656D1" w:rsidP="00D769B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Diventa rosso per sfregamento</w:t>
            </w:r>
          </w:p>
        </w:tc>
      </w:tr>
    </w:tbl>
    <w:p w:rsidR="00D769B2" w:rsidRDefault="00D769B2" w:rsidP="003B097B">
      <w:pPr>
        <w:spacing w:line="240" w:lineRule="auto"/>
        <w:rPr>
          <w:lang w:val="it-IT"/>
        </w:rPr>
      </w:pPr>
    </w:p>
    <w:p w:rsidR="0089564C" w:rsidRDefault="0089564C" w:rsidP="003B097B">
      <w:pPr>
        <w:spacing w:line="240" w:lineRule="auto"/>
        <w:rPr>
          <w:lang w:val="it-IT"/>
        </w:rPr>
      </w:pPr>
    </w:p>
    <w:p w:rsidR="0089564C" w:rsidRDefault="0089564C" w:rsidP="003B097B">
      <w:pPr>
        <w:spacing w:line="240" w:lineRule="auto"/>
        <w:rPr>
          <w:lang w:val="it-IT"/>
        </w:rPr>
      </w:pPr>
    </w:p>
    <w:tbl>
      <w:tblPr>
        <w:tblStyle w:val="Grigliatabella"/>
        <w:tblW w:w="0" w:type="auto"/>
        <w:tblInd w:w="2233" w:type="dxa"/>
        <w:tblLook w:val="04A0" w:firstRow="1" w:lastRow="0" w:firstColumn="1" w:lastColumn="0" w:noHBand="0" w:noVBand="1"/>
      </w:tblPr>
      <w:tblGrid>
        <w:gridCol w:w="1770"/>
        <w:gridCol w:w="2852"/>
      </w:tblGrid>
      <w:tr w:rsidR="0089564C" w:rsidRPr="00D769B2" w:rsidTr="0089564C">
        <w:tc>
          <w:tcPr>
            <w:tcW w:w="1770" w:type="dxa"/>
            <w:vAlign w:val="center"/>
          </w:tcPr>
          <w:p w:rsidR="0089564C" w:rsidRDefault="0089564C" w:rsidP="0056791C">
            <w:pPr>
              <w:jc w:val="center"/>
              <w:rPr>
                <w:b/>
                <w:bCs/>
              </w:rPr>
            </w:pPr>
            <w:proofErr w:type="spellStart"/>
            <w:r w:rsidRPr="00D769B2">
              <w:rPr>
                <w:b/>
                <w:bCs/>
              </w:rPr>
              <w:t>Campioni</w:t>
            </w:r>
            <w:proofErr w:type="spellEnd"/>
          </w:p>
          <w:p w:rsidR="0089564C" w:rsidRPr="007727AC" w:rsidRDefault="0089564C" w:rsidP="00D656D1">
            <w:pPr>
              <w:jc w:val="center"/>
              <w:rPr>
                <w:b/>
                <w:bCs/>
                <w:sz w:val="20"/>
                <w:szCs w:val="20"/>
              </w:rPr>
            </w:pPr>
            <w:r w:rsidRPr="007727AC"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reazione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con H</w:t>
            </w:r>
            <w:r w:rsidRPr="00D656D1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>SO</w:t>
            </w:r>
            <w:r w:rsidRPr="00D656D1">
              <w:rPr>
                <w:b/>
                <w:bCs/>
                <w:sz w:val="20"/>
                <w:szCs w:val="20"/>
                <w:vertAlign w:val="subscript"/>
              </w:rPr>
              <w:t>4</w:t>
            </w:r>
            <w:r w:rsidRPr="007727A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52" w:type="dxa"/>
            <w:vAlign w:val="center"/>
          </w:tcPr>
          <w:p w:rsidR="0089564C" w:rsidRPr="00D769B2" w:rsidRDefault="0089564C" w:rsidP="0056791C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Comportamento a caldo</w:t>
            </w:r>
          </w:p>
        </w:tc>
      </w:tr>
      <w:tr w:rsidR="0089564C" w:rsidRPr="00D769B2" w:rsidTr="0089564C">
        <w:tc>
          <w:tcPr>
            <w:tcW w:w="1770" w:type="dxa"/>
            <w:vAlign w:val="center"/>
          </w:tcPr>
          <w:p w:rsidR="0089564C" w:rsidRPr="00D769B2" w:rsidRDefault="0089564C" w:rsidP="0056791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KI</w:t>
            </w:r>
          </w:p>
        </w:tc>
        <w:tc>
          <w:tcPr>
            <w:tcW w:w="2852" w:type="dxa"/>
            <w:vAlign w:val="center"/>
          </w:tcPr>
          <w:p w:rsidR="0089564C" w:rsidRPr="00D769B2" w:rsidRDefault="0089564C" w:rsidP="0056791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Sviluppo di vapori violetti</w:t>
            </w:r>
          </w:p>
        </w:tc>
      </w:tr>
      <w:tr w:rsidR="0089564C" w:rsidRPr="00A66D92" w:rsidTr="0089564C">
        <w:tc>
          <w:tcPr>
            <w:tcW w:w="1770" w:type="dxa"/>
            <w:vAlign w:val="center"/>
          </w:tcPr>
          <w:p w:rsidR="0089564C" w:rsidRPr="00D769B2" w:rsidRDefault="0089564C" w:rsidP="0056791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KBr</w:t>
            </w:r>
          </w:p>
        </w:tc>
        <w:tc>
          <w:tcPr>
            <w:tcW w:w="2852" w:type="dxa"/>
            <w:vAlign w:val="center"/>
          </w:tcPr>
          <w:p w:rsidR="0089564C" w:rsidRPr="007727AC" w:rsidRDefault="0089564C" w:rsidP="0056791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Sviluppi di vapori bruno-rossastri</w:t>
            </w:r>
          </w:p>
        </w:tc>
      </w:tr>
      <w:tr w:rsidR="0089564C" w:rsidRPr="00A66D92" w:rsidTr="0089564C">
        <w:tc>
          <w:tcPr>
            <w:tcW w:w="1770" w:type="dxa"/>
            <w:vAlign w:val="center"/>
          </w:tcPr>
          <w:p w:rsidR="0089564C" w:rsidRPr="00D30FD6" w:rsidRDefault="00D30FD6" w:rsidP="0056791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Pb(</w:t>
            </w:r>
            <w:r w:rsidR="0089564C">
              <w:rPr>
                <w:lang w:val="it-IT"/>
              </w:rPr>
              <w:t>NO</w:t>
            </w:r>
            <w:r w:rsidR="0089564C" w:rsidRPr="00D656D1">
              <w:rPr>
                <w:vertAlign w:val="subscript"/>
                <w:lang w:val="it-IT"/>
              </w:rPr>
              <w:t>3</w:t>
            </w:r>
            <w:r>
              <w:rPr>
                <w:lang w:val="it-IT"/>
              </w:rPr>
              <w:t>)</w:t>
            </w:r>
            <w:r w:rsidRPr="00D30FD6">
              <w:rPr>
                <w:vertAlign w:val="subscript"/>
                <w:lang w:val="it-IT"/>
              </w:rPr>
              <w:t>2</w:t>
            </w:r>
          </w:p>
        </w:tc>
        <w:tc>
          <w:tcPr>
            <w:tcW w:w="2852" w:type="dxa"/>
            <w:vAlign w:val="center"/>
          </w:tcPr>
          <w:p w:rsidR="0089564C" w:rsidRPr="007727AC" w:rsidRDefault="0089564C" w:rsidP="0056791C">
            <w:pPr>
              <w:jc w:val="center"/>
              <w:rPr>
                <w:lang w:val="it-IT"/>
              </w:rPr>
            </w:pPr>
            <w:r w:rsidRPr="0089564C">
              <w:rPr>
                <w:lang w:val="it-IT"/>
              </w:rPr>
              <w:t>S</w:t>
            </w:r>
            <w:r>
              <w:rPr>
                <w:lang w:val="it-IT"/>
              </w:rPr>
              <w:t>viluppo</w:t>
            </w:r>
            <w:r w:rsidRPr="0089564C">
              <w:rPr>
                <w:lang w:val="it-IT"/>
              </w:rPr>
              <w:t xml:space="preserve"> di </w:t>
            </w:r>
            <w:r>
              <w:rPr>
                <w:lang w:val="it-IT"/>
              </w:rPr>
              <w:t>ipoazotide (NO</w:t>
            </w:r>
            <w:r w:rsidRPr="0089564C">
              <w:rPr>
                <w:vertAlign w:val="subscript"/>
                <w:lang w:val="it-IT"/>
              </w:rPr>
              <w:t>2</w:t>
            </w:r>
            <w:r>
              <w:rPr>
                <w:lang w:val="it-IT"/>
              </w:rPr>
              <w:t>), gas di colore</w:t>
            </w:r>
            <w:r w:rsidRPr="0089564C">
              <w:rPr>
                <w:lang w:val="it-IT"/>
              </w:rPr>
              <w:t xml:space="preserve"> bruno-rossastr</w:t>
            </w:r>
            <w:r>
              <w:rPr>
                <w:lang w:val="it-IT"/>
              </w:rPr>
              <w:t>o e di odore caratteristico</w:t>
            </w:r>
          </w:p>
        </w:tc>
      </w:tr>
    </w:tbl>
    <w:p w:rsidR="00D656D1" w:rsidRPr="00B86423" w:rsidRDefault="00D656D1" w:rsidP="003B097B">
      <w:pPr>
        <w:spacing w:line="240" w:lineRule="auto"/>
        <w:rPr>
          <w:lang w:val="it-IT"/>
        </w:rPr>
      </w:pPr>
    </w:p>
    <w:sectPr w:rsidR="00D656D1" w:rsidRPr="00B86423" w:rsidSect="009C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3044F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34256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73FFC"/>
    <w:multiLevelType w:val="hybridMultilevel"/>
    <w:tmpl w:val="BF547A6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83538"/>
    <w:multiLevelType w:val="hybridMultilevel"/>
    <w:tmpl w:val="E2DE00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A429B"/>
    <w:multiLevelType w:val="hybridMultilevel"/>
    <w:tmpl w:val="0CE05D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6A6"/>
    <w:rsid w:val="00045976"/>
    <w:rsid w:val="000820AF"/>
    <w:rsid w:val="000865AE"/>
    <w:rsid w:val="0009108B"/>
    <w:rsid w:val="000E41CC"/>
    <w:rsid w:val="000F46D3"/>
    <w:rsid w:val="00170A77"/>
    <w:rsid w:val="001A6CCA"/>
    <w:rsid w:val="001C0F76"/>
    <w:rsid w:val="00231B6B"/>
    <w:rsid w:val="00365659"/>
    <w:rsid w:val="003970AC"/>
    <w:rsid w:val="003B097B"/>
    <w:rsid w:val="003F5571"/>
    <w:rsid w:val="00411B98"/>
    <w:rsid w:val="0044104D"/>
    <w:rsid w:val="00485633"/>
    <w:rsid w:val="0059046F"/>
    <w:rsid w:val="005D5F3D"/>
    <w:rsid w:val="00610D42"/>
    <w:rsid w:val="00703DE2"/>
    <w:rsid w:val="007727AC"/>
    <w:rsid w:val="00844FC6"/>
    <w:rsid w:val="0089564C"/>
    <w:rsid w:val="00953B38"/>
    <w:rsid w:val="009A6FBA"/>
    <w:rsid w:val="009C0A67"/>
    <w:rsid w:val="009C13B7"/>
    <w:rsid w:val="00A015D8"/>
    <w:rsid w:val="00A64700"/>
    <w:rsid w:val="00A66D92"/>
    <w:rsid w:val="00B061DB"/>
    <w:rsid w:val="00B57306"/>
    <w:rsid w:val="00B83B9A"/>
    <w:rsid w:val="00B85D5F"/>
    <w:rsid w:val="00B86423"/>
    <w:rsid w:val="00BF3EF3"/>
    <w:rsid w:val="00C26733"/>
    <w:rsid w:val="00C4006A"/>
    <w:rsid w:val="00C47717"/>
    <w:rsid w:val="00CD7E3F"/>
    <w:rsid w:val="00CE012C"/>
    <w:rsid w:val="00D30FD6"/>
    <w:rsid w:val="00D656D1"/>
    <w:rsid w:val="00D769B2"/>
    <w:rsid w:val="00DA2128"/>
    <w:rsid w:val="00E0557E"/>
    <w:rsid w:val="00E21F81"/>
    <w:rsid w:val="00E510C5"/>
    <w:rsid w:val="00E66940"/>
    <w:rsid w:val="00EF739D"/>
    <w:rsid w:val="00F046A6"/>
    <w:rsid w:val="00F771E9"/>
    <w:rsid w:val="00FD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B54695F"/>
  <w15:docId w15:val="{07E20E0E-6A1F-45E5-B83E-53F9FEC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231F20"/>
        <w:sz w:val="24"/>
        <w:szCs w:val="28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13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6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6A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D7E3F"/>
    <w:pPr>
      <w:ind w:left="720"/>
      <w:contextualSpacing/>
    </w:pPr>
  </w:style>
  <w:style w:type="table" w:styleId="Grigliatabella">
    <w:name w:val="Table Grid"/>
    <w:basedOn w:val="Tabellanormale"/>
    <w:uiPriority w:val="59"/>
    <w:rsid w:val="00A015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 Valente</cp:lastModifiedBy>
  <cp:revision>13</cp:revision>
  <cp:lastPrinted>2016-11-23T12:17:00Z</cp:lastPrinted>
  <dcterms:created xsi:type="dcterms:W3CDTF">2013-03-28T16:47:00Z</dcterms:created>
  <dcterms:modified xsi:type="dcterms:W3CDTF">2018-11-19T09:10:00Z</dcterms:modified>
</cp:coreProperties>
</file>